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6" w:rsidRPr="00C41266" w:rsidRDefault="00C41266" w:rsidP="00C41266">
      <w:pPr>
        <w:spacing w:after="0" w:line="36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C41266" w:rsidRDefault="00C41266" w:rsidP="00C41266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Правительства Ульяновской области </w:t>
      </w:r>
    </w:p>
    <w:p w:rsidR="00C41266" w:rsidRPr="00C41266" w:rsidRDefault="00C41266" w:rsidP="00C41266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 __________ 2018 г. № _____</w:t>
      </w:r>
    </w:p>
    <w:p w:rsidR="00C41266" w:rsidRDefault="00C41266" w:rsidP="00C412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266" w:rsidRDefault="00C41266" w:rsidP="00C412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FE" w:rsidRPr="00C41266" w:rsidRDefault="00C41266" w:rsidP="00C412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ДЕЙСТВИЙ</w:t>
      </w:r>
    </w:p>
    <w:p w:rsidR="00C41266" w:rsidRDefault="00C41266" w:rsidP="00C412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412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перехода к «зелёной» (циклической) экономике </w:t>
      </w:r>
    </w:p>
    <w:p w:rsidR="00C41266" w:rsidRPr="00C41266" w:rsidRDefault="00C41266" w:rsidP="00C412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2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Ульяновской области</w:t>
      </w:r>
    </w:p>
    <w:p w:rsidR="00C41266" w:rsidRPr="00C41266" w:rsidRDefault="00C41266" w:rsidP="00C412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65E" w:rsidRPr="00617AFE" w:rsidRDefault="00E0465E" w:rsidP="00CB50D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проблем, на решение которых направлена </w:t>
      </w:r>
      <w:r w:rsidR="00E5352E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CB50D7" w:rsidRPr="00617AFE" w:rsidRDefault="00CB50D7" w:rsidP="00CB50D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F2" w:rsidRDefault="00DD32F2" w:rsidP="00DD3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действий перехода к </w:t>
      </w:r>
      <w:r w:rsidRPr="00DD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«зелёной» (циклической) экономике в Ульяновской области </w:t>
      </w:r>
      <w:r w:rsidR="00811F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</w:t>
      </w:r>
      <w:r w:rsidR="001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нацелена на выработку мер, направленных на решение эколого-экономических проблем Ульяновской области. </w:t>
      </w:r>
    </w:p>
    <w:p w:rsidR="00A36EBE" w:rsidRDefault="001040E1" w:rsidP="00DD3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Нерешёнными </w:t>
      </w:r>
      <w:r w:rsidR="00A3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для региона остаются:</w:t>
      </w:r>
    </w:p>
    <w:p w:rsidR="00C8755F" w:rsidRPr="00D57E59" w:rsidRDefault="007D655B" w:rsidP="007D655B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6EBE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ерациональное, неэффективное использование природных</w:t>
      </w:r>
      <w:r w:rsidR="0014406B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материальных</w:t>
      </w: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ресурсов.</w:t>
      </w:r>
    </w:p>
    <w:p w:rsidR="00486716" w:rsidRDefault="00C8755F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секторах экономики наблюдается неэффективное использование ресурсов</w:t>
      </w:r>
      <w:r w:rsidR="001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EBE" w:rsidRDefault="000F1288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 сельскохозяйственного назначения сократилась с 2011 по 2016 годы на 13,2  тыс. га, доля в общем земельном фонде – на </w:t>
      </w:r>
      <w:r w:rsidR="0025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0,4%, </w:t>
      </w:r>
      <w:r w:rsidR="00F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лесного фонда не увеличилась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40E1" w:rsidRPr="00144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уммарный объем потерь в электросетевом комплексе</w:t>
      </w:r>
      <w:r w:rsidR="001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  <w:r w:rsidR="005B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1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1040E1" w:rsidRPr="0014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728,53 млн. кВт*ч</w:t>
      </w:r>
      <w:r w:rsidR="005B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значительно ниже показателя 2016 года (783,1 кВт*ч), тем не </w:t>
      </w:r>
      <w:proofErr w:type="gramStart"/>
      <w:r w:rsidR="005B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5B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весьма значительным. </w:t>
      </w:r>
      <w:r w:rsidR="00FE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256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 отходов производства и потребления с 2012 по 2015 годы увеличилось в 2,3 раза</w:t>
      </w:r>
      <w:r w:rsidR="00FC2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использованных отходов сократилась с 25% до 15,5%</w:t>
      </w:r>
      <w:r w:rsidR="00DE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низкий показатель в Приволжском федеральном округе)</w:t>
      </w:r>
      <w:r w:rsidR="00E4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в Республике Мордовия используется 81,2% образованных отходов, </w:t>
      </w:r>
      <w:r w:rsidR="0048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Кировской области 84,5%. </w:t>
      </w:r>
      <w:r w:rsidR="001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8755F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влечёт за собой экономические потери, тормозит рост добавленной стоимости, наносит ущерб окружающей среде.</w:t>
      </w:r>
      <w:r w:rsidR="0075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EBE" w:rsidRPr="00D57E59" w:rsidRDefault="007D655B" w:rsidP="007D65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6EBE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бразование и накопление отходов</w:t>
      </w: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1978" w:rsidRDefault="00C8755F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Ульяновской области, как и в целом в Российской Федерации, прослеживается тенденция к увеличению образования отходов (в 2012 году образовано </w:t>
      </w:r>
      <w:r w:rsidR="00E45709">
        <w:rPr>
          <w:rFonts w:ascii="Times New Roman" w:eastAsia="Times New Roman" w:hAnsi="Times New Roman" w:cs="Times New Roman"/>
          <w:sz w:val="28"/>
          <w:szCs w:val="28"/>
          <w:lang w:eastAsia="ru-RU"/>
        </w:rPr>
        <w:t>370,9</w:t>
      </w:r>
      <w:r w:rsidRPr="00C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тонн, в 2014 году - 782,9 тыс. тонн, </w:t>
      </w:r>
      <w:r w:rsidR="00445A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="00445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E4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844,6 тыс. тонн, </w:t>
      </w:r>
      <w:r w:rsidRPr="00C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486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686,2 тыс. тонн, в 2017 году - </w:t>
      </w:r>
      <w:r w:rsidRPr="00C8755F">
        <w:rPr>
          <w:rFonts w:ascii="Times New Roman" w:eastAsia="Times New Roman" w:hAnsi="Times New Roman" w:cs="Times New Roman"/>
          <w:sz w:val="28"/>
          <w:szCs w:val="28"/>
          <w:lang w:eastAsia="ru-RU"/>
        </w:rPr>
        <w:t>1236 тыс. тонн).</w:t>
      </w:r>
      <w:proofErr w:type="gramEnd"/>
      <w:r w:rsidRPr="00C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объёмы образования отходов в Ульяновская области одни из самых низких в Приволжском федеральном округе (вторая позиция в рейтинге, самый низкий показатель в Чувашской республике), динамика их увеличения самая высокая.</w:t>
      </w:r>
      <w:proofErr w:type="gramEnd"/>
    </w:p>
    <w:p w:rsidR="00DD3A49" w:rsidRDefault="00DD32F2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Ульяновской области практически нет объектов индустриальной переработки отходов. Основным способом удаления отходов является их захоронение. Значительное количество отходов (порядка 30%) от небольших предприятий промышленности и сельского хозяйства хранится на территории этих предприятий и удаляется на несанкционированные свалки. Количество отходов, которые не вовлекаются во вторичный хозяйственный оборот, а размещаются в объектах размещения отходов, возрастает.</w:t>
      </w:r>
    </w:p>
    <w:p w:rsidR="00C41266" w:rsidRDefault="00C41266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33" w:rsidRDefault="004D2833" w:rsidP="00052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82EC66" wp14:editId="166E18D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3A49" w:rsidRDefault="00DD3A49" w:rsidP="0030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59" w:rsidRPr="00D57E59" w:rsidRDefault="007D655B" w:rsidP="00D57E5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36EBE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агрязнение окружающей среды и деградация экологических систем</w:t>
      </w: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755F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2060" w:rsidRDefault="00C8755F" w:rsidP="00D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состояния окружающей среды негативно сказывается на здоровье людей. Несмотря на то, что регион входит в 10-ку лучших регионов экологического рейтинга,</w:t>
      </w:r>
      <w:r w:rsidR="001313CC" w:rsidRPr="001313CC">
        <w:t xml:space="preserve"> </w:t>
      </w:r>
      <w:r w:rsidR="001313CC" w:rsidRPr="001313CC">
        <w:rPr>
          <w:rFonts w:ascii="Times New Roman" w:hAnsi="Times New Roman" w:cs="Times New Roman"/>
          <w:sz w:val="28"/>
          <w:szCs w:val="28"/>
        </w:rPr>
        <w:t>составляемого</w:t>
      </w:r>
      <w:r w:rsidR="001313CC">
        <w:t xml:space="preserve"> </w:t>
      </w:r>
      <w:r w:rsidR="001313CC" w:rsidRPr="00131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</w:t>
      </w:r>
      <w:r w:rsidR="00131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13CC" w:rsidRPr="0013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«Зелёный патруль»</w:t>
      </w:r>
      <w:r w:rsidR="00131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техногенные нагрузки, чрезмерное количество мусорных свалок и большое скопление автомобилей оказывают негативное влияние на качество жизни людей.</w:t>
      </w:r>
      <w:r w:rsidR="00EF3403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060" w:rsidRDefault="003A2060" w:rsidP="00D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60" w:rsidRDefault="003A2060" w:rsidP="003A2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19EA01" wp14:editId="6E32FDC7">
            <wp:extent cx="4100286" cy="2351314"/>
            <wp:effectExtent l="0" t="0" r="1460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060" w:rsidRDefault="003A2060" w:rsidP="003A2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AC" w:rsidRDefault="007D655B" w:rsidP="00D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7E5286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2014-2016 годы </w:t>
      </w:r>
      <w:r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выбросов загрязняющих </w:t>
      </w:r>
      <w:r w:rsidR="007E5286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веще</w:t>
      </w:r>
      <w:proofErr w:type="gramStart"/>
      <w:r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7E5286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proofErr w:type="gramEnd"/>
      <w:r w:rsidR="007E5286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ационарных и передвижных источников увеличилось на 10, 5 тыс. тонн, большая доля (76%) которых приходится на автотранспорт. </w:t>
      </w:r>
      <w:r w:rsidR="009D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автотранспортных средств ежегодно увеличивается в среднем на 4%. </w:t>
      </w:r>
    </w:p>
    <w:p w:rsidR="003A2060" w:rsidRDefault="001313CC" w:rsidP="00D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фактором, ухудшающим экологическую обстановку в области, является сброс бытовых и производственных сточных вод в поверхностные водные объекты. </w:t>
      </w:r>
      <w:r w:rsidR="00EE3EB2" w:rsidRPr="00E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доля сброшенных загрязненных вод состав</w:t>
      </w:r>
      <w:r w:rsidR="00E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EE3EB2" w:rsidRPr="00EE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99%, нормативно чистые и нормативно очищенные 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EB2" w:rsidRPr="00EE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1%. </w:t>
      </w:r>
    </w:p>
    <w:p w:rsidR="00C8755F" w:rsidRPr="00D57E59" w:rsidRDefault="00F042A1" w:rsidP="00D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 - </w:t>
      </w:r>
      <w:r w:rsidR="009C6848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заболеваемости </w:t>
      </w:r>
      <w:r w:rsidR="007E5286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Ульяновской области </w:t>
      </w:r>
      <w:r w:rsidR="009C6848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новообразований, эндокринной системы, органов дыхания, органов пищеварения, осложнения беременности и родов.</w:t>
      </w:r>
    </w:p>
    <w:p w:rsidR="00C8755F" w:rsidRDefault="007E5286" w:rsidP="00C8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8755F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лабые темпы технологического развития, </w:t>
      </w:r>
      <w:r w:rsidR="00A36EBE" w:rsidRPr="00D5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преобладание традиционных производств с незначительной долей инновационного сектора</w:t>
      </w:r>
      <w:r w:rsid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9FA" w:rsidRDefault="001122A4" w:rsidP="00627F9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2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организаций, осуществлявших инновации в общем числе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3,6% в 2016 году – самый низкий показатель в Приволжском </w:t>
      </w:r>
      <w:r w:rsidR="00FD6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(для сравнения в Чувашской Республике - 24,5, </w:t>
      </w:r>
      <w:r w:rsid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– 21,3,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Пензенской области 20,1), причём данный показатель отмечен с отрицательной динамикой, начиная с 2012 года. </w:t>
      </w:r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spellStart"/>
      <w:r w:rsid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организаций в 2017 году сократилось ещё на 3 по сравнению </w:t>
      </w:r>
      <w:proofErr w:type="gramStart"/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предыдущим годом и </w:t>
      </w:r>
      <w:r w:rsid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</w:t>
      </w:r>
      <w:r w:rsidR="00F50C73" w:rsidRPr="00F50C73">
        <w:t xml:space="preserve"> </w:t>
      </w:r>
    </w:p>
    <w:p w:rsidR="00627F96" w:rsidRDefault="00F50C73" w:rsidP="0062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организаций, осуществлявших экологические инновации в общем числе обследованных организаций в Приволжском федеральном округе</w:t>
      </w:r>
      <w:r w:rsidR="0009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</w:t>
      </w:r>
      <w:r w:rsidR="00E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 w:rsidR="00863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</w:t>
      </w:r>
      <w:r w:rsidR="003B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Ульяновской области </w:t>
      </w:r>
      <w:r w:rsidR="0069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0,6% вдвое ниже </w:t>
      </w:r>
      <w:r w:rsidR="003B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69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по Приволжскому федеральному округу – 1,3%</w:t>
      </w:r>
      <w:r w:rsidR="003B7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070" w:rsidRPr="003347F0" w:rsidRDefault="00486070" w:rsidP="003347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347F0" w:rsidRPr="0033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изкий уровень жизни населения</w:t>
      </w:r>
      <w:r w:rsidR="0033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A30BB" w:rsidRPr="0033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</w:p>
    <w:p w:rsidR="00784F14" w:rsidRDefault="001B5F8A" w:rsidP="000F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</w:t>
      </w:r>
      <w:r w:rsidR="00D57E59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среднемесячной заработной платы 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(26,1 тыс. рублей) </w:t>
      </w:r>
      <w:r w:rsidR="00B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7E59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 занимает 9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7E59" w:rsidRP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Приволжском федеральном округе.</w:t>
      </w:r>
      <w:r w:rsidR="00D5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</w:t>
      </w:r>
      <w:r w:rsidR="00784F14">
        <w:rPr>
          <w:rFonts w:ascii="Times New Roman" w:eastAsia="Times New Roman" w:hAnsi="Times New Roman" w:cs="Times New Roman"/>
          <w:sz w:val="28"/>
          <w:szCs w:val="28"/>
          <w:lang w:eastAsia="ru-RU"/>
        </w:rPr>
        <w:t>ю с</w:t>
      </w:r>
      <w:r w:rsidR="0025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реднедушевых денежных доходов населения </w:t>
      </w:r>
      <w:r w:rsidR="0078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(23,1 тыс. рублей)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084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позицию</w:t>
      </w:r>
      <w:r w:rsidR="0078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4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с денежными доходами ниже величины прожиточного минимума за последние 3 года увеличилась на 40,9 тыс. человек и составила 15,4%.</w:t>
      </w:r>
      <w:proofErr w:type="gramEnd"/>
    </w:p>
    <w:p w:rsidR="00757E1C" w:rsidRPr="00CB50D7" w:rsidRDefault="00757E1C" w:rsidP="0075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показывает, что «зелёная» экономика стимулирует экономическое развитие, увеличивает экономический потенциал за счёт создания рабочих мест в «зелёных»  секторах.</w:t>
      </w:r>
      <w:r w:rsidRPr="00C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D7" w:rsidRPr="00B861D7" w:rsidRDefault="005105B5" w:rsidP="005105B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Пассивно-потребительский</w:t>
      </w:r>
      <w:r w:rsidR="00E0465E" w:rsidRPr="00B8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кологической культуры населения</w:t>
      </w:r>
    </w:p>
    <w:p w:rsidR="00B86DDB" w:rsidRDefault="003335A7" w:rsidP="00B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существенным недостатком в понимании проблем окружающей среды является несформированное экологическое сознание, определяющее поступк</w:t>
      </w:r>
      <w:r w:rsidR="00B8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индивидов и </w:t>
      </w:r>
      <w:r w:rsidRPr="003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общества в целом. </w:t>
      </w:r>
      <w:r w:rsidR="000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105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пассивно-потребительским уровнем экологической культуры характеризуется</w:t>
      </w:r>
      <w:r w:rsidR="000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непродуманностью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и их последствий </w:t>
      </w:r>
      <w:r w:rsidR="000B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экологической точки зрения, может</w:t>
      </w:r>
      <w:r w:rsidR="00F7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ущерб окружающей среде</w:t>
      </w:r>
      <w:r w:rsidR="000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9C6" w:rsidRPr="008139C6" w:rsidRDefault="004A57C0" w:rsidP="0081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показывают проводимые </w:t>
      </w:r>
      <w:r w:rsidR="009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исследования</w:t>
      </w:r>
      <w:r w:rsidR="00941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71,9% респондентов находятся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>99,9% никогда не обсуждают экологические проблемы в семье</w:t>
      </w:r>
      <w:r w:rsidR="00941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 направленной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</w:t>
      </w:r>
      <w:r w:rsidR="00941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9C6" w:rsidRP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6">
        <w:rPr>
          <w:rFonts w:ascii="Times New Roman" w:eastAsia="Times New Roman" w:hAnsi="Times New Roman" w:cs="Times New Roman"/>
          <w:sz w:val="28"/>
          <w:szCs w:val="28"/>
          <w:lang w:eastAsia="ru-RU"/>
        </w:rPr>
        <w:t>50% респондентов считают проведение экологических акций (проектов) полезными, однако 41% из них не заинтересованы принимать участие в них.</w:t>
      </w:r>
    </w:p>
    <w:p w:rsidR="00E0465E" w:rsidRDefault="00B86DDB" w:rsidP="00B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экологической культуры до </w:t>
      </w:r>
      <w:r w:rsidR="000B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сберегающего и восстановительного, </w:t>
      </w:r>
      <w:r w:rsidR="00F74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знания, информированность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включённость</w:t>
      </w:r>
      <w:proofErr w:type="spellEnd"/>
      <w:r w:rsidR="00F7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психологическая готовность следовать экологическим стандартам поведения.</w:t>
      </w:r>
    </w:p>
    <w:p w:rsidR="00C82D6F" w:rsidRPr="00B861D7" w:rsidRDefault="00C82D6F" w:rsidP="00B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97" w:rsidRDefault="003D0D8D" w:rsidP="003D0D8D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</w:t>
      </w:r>
      <w:r w:rsidR="000E6CA0"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еделение «зелёной» (циклической</w:t>
      </w:r>
      <w:r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экономики</w:t>
      </w:r>
      <w:r w:rsidR="00F61986"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0D8D" w:rsidRPr="00C54697" w:rsidRDefault="00F61986" w:rsidP="00C5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D0D8D"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ритерии </w:t>
      </w:r>
      <w:r w:rsidR="00C54697"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идентификации «зелён</w:t>
      </w:r>
      <w:r w:rsid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C54697"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(циклическ</w:t>
      </w:r>
      <w:r w:rsid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C54697" w:rsidRP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5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</w:p>
    <w:p w:rsidR="00C54697" w:rsidRPr="00C54697" w:rsidRDefault="00C54697" w:rsidP="00C5469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D9B" w:rsidRPr="007B2BC4" w:rsidRDefault="0002104C" w:rsidP="0042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Общепринятого определения «зеленой» (циклической) экономики не существует. </w:t>
      </w:r>
      <w:r w:rsidR="00B31D9B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«зелёной» экономики находится ещё на стадии </w:t>
      </w:r>
      <w:r w:rsidR="000E6CA0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B31D9B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104C" w:rsidRPr="007B2BC4" w:rsidRDefault="0002104C" w:rsidP="0042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Организац</w:t>
      </w:r>
      <w:proofErr w:type="gramStart"/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 охране окружающей среды (ЮНЕП) рассматривают </w:t>
      </w:r>
      <w:r w:rsidRPr="007B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«зеленую» экономику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хозяйственную деятельность, которая повышает благосостояние людей и обеспечивает социальную справедливость и при этом существенно снижает риски для окружающей среды и обеднение природы. </w:t>
      </w:r>
    </w:p>
    <w:p w:rsidR="0002104C" w:rsidRPr="007B2BC4" w:rsidRDefault="000E6CA0" w:rsidP="0042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04C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фициальные документы разных государств содержат различные акценты: у р</w:t>
      </w:r>
      <w:r w:rsidR="00B31D9B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стран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(развитые </w:t>
      </w:r>
      <w:proofErr w:type="gramStart"/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страны) </w:t>
      </w:r>
      <w:proofErr w:type="gramEnd"/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смещён в сторону устойчивого развития, </w:t>
      </w:r>
      <w:r w:rsidR="0002104C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104C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бедности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справедливости, у других стран</w:t>
      </w:r>
      <w:r w:rsidR="0082728F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(БРИКС) </w:t>
      </w:r>
      <w:r w:rsidR="0002104C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</w:t>
      </w:r>
      <w:r w:rsidR="0002104C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04C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ресурсов. </w:t>
      </w:r>
    </w:p>
    <w:p w:rsidR="00B31D9B" w:rsidRPr="007B2BC4" w:rsidRDefault="00B31D9B" w:rsidP="00B3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ресурсосбережения понятие «зелёная» экономика тесно сопряжено с понятием «циклическая» экономка.</w:t>
      </w:r>
    </w:p>
    <w:p w:rsidR="00B12BDE" w:rsidRPr="007B2BC4" w:rsidRDefault="00B12BDE" w:rsidP="00E23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Циклическая экономика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экономическая модель, в основе которой лежит принцип восстановления, повторного использования </w:t>
      </w:r>
      <w:r w:rsidR="00E23EC2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переработки сырья и материалов в рамках замкнутого цикла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EC2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Циклическая экономика является альтернативой линейной экономике, основанной на принципе «ресурсы – товары – отходы». В рамках циклической экономики ресурсы и материалы используют как можно дольше, извлекая из них максимальную выгоду.</w:t>
      </w:r>
      <w:r w:rsidR="00E23EC2" w:rsidRPr="007B2BC4">
        <w:rPr>
          <w:rFonts w:ascii="Times New Roman" w:hAnsi="Times New Roman" w:cs="Times New Roman"/>
          <w:sz w:val="28"/>
          <w:szCs w:val="28"/>
        </w:rPr>
        <w:t xml:space="preserve"> Цель циклической экономики - </w:t>
      </w:r>
      <w:r w:rsidR="00E23EC2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к минимуму материальные потери и использовать отходы производства как новый ресурс.</w:t>
      </w:r>
    </w:p>
    <w:p w:rsidR="0002104C" w:rsidRPr="007B2BC4" w:rsidRDefault="00E23EC2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Сопоставляя концепцию циклической </w:t>
      </w:r>
      <w:r w:rsidR="000E6CA0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«зеленой» экономик</w:t>
      </w:r>
      <w:r w:rsidR="000E6CA0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они </w:t>
      </w:r>
      <w:proofErr w:type="spellStart"/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взаимодополняют</w:t>
      </w:r>
      <w:proofErr w:type="spellEnd"/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 Основная цель циклической экономики – экономическое развитие, «зелёной» экономки </w:t>
      </w:r>
      <w:r w:rsidR="00350E96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96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развитие, улучшение</w:t>
      </w:r>
      <w:r w:rsidR="00252DCA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жизни.  </w:t>
      </w:r>
      <w:r w:rsidR="00064BE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064BE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50E96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принципов обоих подходов может дать синергетический эффект – экономический рост, повышение благосостояния людей без нанесения ущерба окружающей среде. </w:t>
      </w:r>
      <w:r w:rsidR="00BC7E7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</w:t>
      </w:r>
      <w:r w:rsidR="000E6CA0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подходов</w:t>
      </w:r>
      <w:r w:rsidR="00BC7E7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интегрировать экономическую и экологическую политику. В связи с этим, предлагается использовать </w:t>
      </w:r>
      <w:r w:rsidR="00064BE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определение</w:t>
      </w:r>
      <w:r w:rsidR="00BC7E7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«зелёной» (циклической) экономики.</w:t>
      </w:r>
    </w:p>
    <w:p w:rsidR="00064BE1" w:rsidRDefault="00BC7E71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r w:rsidR="00064BE1" w:rsidRPr="007B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елёная» (циклическая) экономика</w:t>
      </w:r>
      <w:r w:rsidR="00064BE1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эколого-экономическая модель</w:t>
      </w:r>
      <w:r w:rsidR="00350E96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8FF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основанная на эффективном использовании ресурсов, </w:t>
      </w:r>
      <w:r w:rsidR="00350E96" w:rsidRPr="007B2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к повышению благосостояния людей при одновременном снижении рисков для окружающей среды.</w:t>
      </w:r>
    </w:p>
    <w:p w:rsidR="00D8754D" w:rsidRDefault="009C3940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данного определения, следуют </w:t>
      </w:r>
      <w:r w:rsidRPr="00DF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идентификации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«зелёных» предприятий</w:t>
      </w:r>
      <w:r w:rsidR="00D87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940" w:rsidRDefault="00D8754D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вторичных материальных ресурсов в процессе производства</w:t>
      </w:r>
      <w:r w:rsidR="003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 или частично)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54D" w:rsidRDefault="00D8754D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отходов и их повторное использование</w:t>
      </w:r>
      <w:r w:rsidR="00A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модели</w:t>
      </w:r>
      <w:r w:rsidR="00A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замкнутого цикла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54D" w:rsidRDefault="00D8754D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возобновляемых ресурсов;</w:t>
      </w:r>
    </w:p>
    <w:p w:rsidR="00D8754D" w:rsidRDefault="00D8754D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6B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(генерация энергии из возобновляемых источников, мероприятия по снижению энергопотребления);</w:t>
      </w:r>
    </w:p>
    <w:p w:rsidR="006B1E53" w:rsidRDefault="006B1E53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низкое воздействие на окружающую среду</w:t>
      </w:r>
      <w:r w:rsidR="00B7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(выбросы в атмосферный воздух, сточные воды, минимизация размещения отходов)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E53" w:rsidRDefault="006B1E53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ресурсосберегающих технологий;</w:t>
      </w:r>
    </w:p>
    <w:p w:rsidR="004F0B4B" w:rsidRDefault="004F0B4B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экологически чистых материалов, топлива;</w:t>
      </w:r>
    </w:p>
    <w:p w:rsidR="004F0B4B" w:rsidRDefault="004F0B4B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экологически чистой продукции</w:t>
      </w:r>
      <w:r w:rsid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подтверждённое соответствующими сертификатами и маркировкой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E53" w:rsidRPr="00A65EAF" w:rsidRDefault="006B1E53" w:rsidP="0006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A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 экономическая </w:t>
      </w:r>
      <w:r w:rsidR="00DF30B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рабочих мест</w:t>
      </w:r>
      <w:r w:rsidR="00A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3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прибыль, рентабельность</w:t>
      </w:r>
      <w:r w:rsidR="00A65E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7E71" w:rsidRDefault="004F0B4B" w:rsidP="00C20E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соответствия критериям является применение предприятием системы экологического менеджмента</w:t>
      </w:r>
      <w:r w:rsid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международному стандарту </w:t>
      </w:r>
      <w:r w:rsidR="00C20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C20E34" w:rsidRP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14001</w:t>
      </w:r>
      <w:r w:rsid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>:2004 «Систем</w:t>
      </w:r>
      <w:r w:rsidR="00C20E34" w:rsidRP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>ы  экологического менеджмента –</w:t>
      </w:r>
      <w:r w:rsid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34" w:rsidRP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 по применению»</w:t>
      </w:r>
      <w:r w:rsid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национальному стандарту </w:t>
      </w:r>
      <w:r w:rsidR="00420CE3" w:rsidRP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="00420CE3" w:rsidRP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20CE3" w:rsidRP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14001-2016 </w:t>
      </w:r>
      <w:r w:rsid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CE3" w:rsidRP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экологического менеджмента. Требования и руководство по применению</w:t>
      </w:r>
      <w:r w:rsidR="00420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документы, подтверждающие социальн</w:t>
      </w:r>
      <w:r w:rsidR="00A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</w:t>
      </w:r>
      <w:r w:rsidR="001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ономический эффект от перехода на «зелёные» (</w:t>
      </w:r>
      <w:proofErr w:type="spellStart"/>
      <w:r w:rsidR="001A6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ресурсоэффективные</w:t>
      </w:r>
      <w:proofErr w:type="spellEnd"/>
      <w:r w:rsidR="001A6F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процессы производства</w:t>
      </w:r>
      <w:r w:rsidR="00C2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E71" w:rsidRPr="00C56B8E" w:rsidRDefault="00BC7E71" w:rsidP="00C2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5B" w:rsidRPr="003D0D8D" w:rsidRDefault="007D655B" w:rsidP="003D0D8D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развития «зелёной» экономики в Ульяновской области</w:t>
      </w:r>
    </w:p>
    <w:p w:rsidR="007D655B" w:rsidRDefault="007D655B" w:rsidP="007D655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B5" w:rsidRDefault="00AD57B5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приоритетные направления развития «зелёной» (</w:t>
      </w:r>
      <w:r w:rsidRPr="00A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ой)</w:t>
      </w:r>
      <w:r w:rsidRPr="00A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закреплен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стран: в Стратегии ресурсосбережения в Дании, в законе о содействии эффективному использованию ресурсов в Японии, в законе о циклической экономике в Китае.</w:t>
      </w:r>
      <w:r w:rsidR="00192A16" w:rsidRPr="00192A16">
        <w:t xml:space="preserve"> </w:t>
      </w:r>
      <w:r w:rsidR="00192A16" w:rsidRPr="00192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наиболее важных сегментов экономики, требующих применения принципов «зелёной» экономики, определены утилизаци</w:t>
      </w:r>
      <w:r w:rsidR="00611B3C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(переработка)</w:t>
      </w:r>
      <w:r w:rsidR="00192A16" w:rsidRPr="0019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энергетика и</w:t>
      </w:r>
      <w:r w:rsidR="0061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транспорт</w:t>
      </w:r>
      <w:r w:rsidR="00192A16" w:rsidRPr="00192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2A2" w:rsidRDefault="006F6E4F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Российской Федерации отсутствует концептуальный документ, регламентирующий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сырьевой, линейной к «зелёной» (циклической) </w:t>
      </w:r>
      <w:r w:rsidR="008C72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экономике. Отдельные задачи модернизации экономики содержатся в ряде стратегических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8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на сегодняшний день переход на новую </w:t>
      </w:r>
      <w:r w:rsidR="0061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циклическую </w:t>
      </w:r>
      <w:r w:rsidR="008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экономики в масштабах страны пока не </w:t>
      </w:r>
      <w:r w:rsidR="0061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 </w:t>
      </w:r>
      <w:r w:rsidR="00192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приоритет.</w:t>
      </w:r>
      <w:r w:rsidR="008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5B" w:rsidRDefault="0055128A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модернизации технологических процессов назрела во многих отраслях. </w:t>
      </w:r>
      <w:proofErr w:type="gramStart"/>
      <w:r w:rsidR="0039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приоритетных направлений </w:t>
      </w:r>
      <w:r w:rsidR="002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к «зелёной» экономики в Ульяновской области </w:t>
      </w:r>
      <w:r w:rsidR="0039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работа 20 фокус-групп с участием экспертов в сфере экологии, циклической экономики,  энергетики, сельского </w:t>
      </w:r>
      <w:r w:rsidR="002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лесного </w:t>
      </w:r>
      <w:r w:rsidR="003948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транспорта</w:t>
      </w:r>
      <w:r w:rsidR="002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39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специфики социально-экономического развити</w:t>
      </w:r>
      <w:r w:rsidR="003A5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="00AE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39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сообществом </w:t>
      </w:r>
      <w:r w:rsidR="002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подложены следующий приоритеты</w:t>
      </w:r>
      <w:r w:rsidR="00200FAD" w:rsidRPr="00200FAD">
        <w:t xml:space="preserve"> </w:t>
      </w:r>
      <w:r w:rsidR="00200FAD" w:rsidRPr="002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«зелёных» технологий в Ульяновской области</w:t>
      </w:r>
      <w:r w:rsidR="00847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21B8" w:rsidRDefault="00847DD3" w:rsidP="00A421B8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4D0738"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</w:t>
      </w:r>
      <w:r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переработки отходов и повторного производства</w:t>
      </w:r>
      <w:r w:rsidR="0008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1B8" w:rsidRDefault="00080898" w:rsidP="00A421B8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Предпосылки: </w:t>
      </w:r>
      <w:r w:rsidR="00A4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 уровне утверждена </w:t>
      </w:r>
      <w:r w:rsidR="00A421B8" w:rsidRPr="00A42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A421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1B8" w:rsidRPr="00A4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 промышленности по  обработке,  утилизации  и  обезвреживанию  отходов  производства и потребления на пе</w:t>
      </w:r>
      <w:r w:rsidR="00A4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до 2030 года; при росте объёмов отходов производства и потребления доля их использования остаётся весьма низкой (15,5%); в регионе отсутствует индустриальная переработка отходов, имеются предпосылки для вхождения инвесторов. </w:t>
      </w:r>
    </w:p>
    <w:p w:rsidR="00847DD3" w:rsidRDefault="00A421B8" w:rsidP="00A421B8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Целесообразность: </w:t>
      </w:r>
      <w:r w:rsid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цикл использования ресурсов приводит к увеличению добавленной стоимости, снижает негативное воздействие на окружающую среду</w:t>
      </w:r>
      <w:r w:rsidR="0084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получить конкурентные преимущества в данной сфере по сравнению с другими регионами;</w:t>
      </w:r>
    </w:p>
    <w:p w:rsidR="00C96086" w:rsidRDefault="00847DD3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распределённой энергетики на основе возобновляемых источников энергии</w:t>
      </w:r>
      <w:r w:rsidR="00C96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086" w:rsidRDefault="00C96086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Предпосылки: </w:t>
      </w:r>
      <w:r w:rsidR="0082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энергоёмкость ВРП,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износ сетей</w:t>
      </w:r>
      <w:r w:rsidR="00F97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формируется кластер ветроэнергетики, реализуются локальные проекты по генерации солнечной энергии.</w:t>
      </w:r>
    </w:p>
    <w:p w:rsidR="00847DD3" w:rsidRDefault="00C96086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Целесообразность: </w:t>
      </w:r>
      <w:r w:rsidR="004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на сети, экономическая целесообразность для генерирующих компаний и потребителей</w:t>
      </w:r>
      <w:r w:rsidR="0084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086" w:rsidRDefault="00847DD3" w:rsidP="00FE5F7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эко</w:t>
      </w:r>
      <w:r w:rsidR="00FE5F71"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</w:t>
      </w:r>
      <w:r w:rsidR="00AA6099"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 чистого</w:t>
      </w:r>
      <w:r w:rsidR="00FE5F71"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</w:t>
      </w:r>
      <w:r w:rsidR="0091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6086" w:rsidRPr="00535E36" w:rsidRDefault="00C96086" w:rsidP="00FE5F7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Предпосылки: </w:t>
      </w:r>
      <w:r w:rsidR="00826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объёма выбросов в</w:t>
      </w:r>
      <w:r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36"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тмосферный воздух от автомобильного транспорта</w:t>
      </w:r>
      <w:r w:rsidR="0082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влечёт за собой необходимость мер по стимулированию развития экологически чистого транспорта</w:t>
      </w:r>
      <w:r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35E36"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участвует в федеральной программе по переводу общественного транспорта на </w:t>
      </w:r>
      <w:r w:rsidR="00535E36"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газомерное</w:t>
      </w:r>
      <w:r w:rsidRPr="005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топливо, ведётся работа по созданию условий для развития электротранспорта.</w:t>
      </w:r>
    </w:p>
    <w:p w:rsidR="00847DD3" w:rsidRDefault="00C96086" w:rsidP="00FE5F7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воздействия на окружающую среду, снижение эксплуатационных издержек</w:t>
      </w:r>
      <w:r w:rsidR="008D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экономическая целесообразность</w:t>
      </w:r>
      <w:r w:rsidR="0084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5F" w:rsidRDefault="00847DD3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«зелёного» строительства</w:t>
      </w:r>
      <w:r w:rsidR="009A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6B5F" w:rsidRDefault="009A6B5F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Предпосылки: в Ульяновской области не осуществляется переработка (дробление, сортировка) строительных отходов</w:t>
      </w:r>
      <w:r w:rsidR="00FE5F71" w:rsidRPr="00C2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вторичных материальных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ресурсов; строительные отходы размещаются на полигонах либо на несанкционированных свалках.</w:t>
      </w:r>
      <w:r w:rsidR="00C2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отсутствуют стимулы для развития «зелёного» строительства.</w:t>
      </w:r>
    </w:p>
    <w:p w:rsidR="00847DD3" w:rsidRPr="00617AFE" w:rsidRDefault="009A6B5F" w:rsidP="0055128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Целесообразность: </w:t>
      </w:r>
      <w:r w:rsidR="004B0A58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 w:rsidR="00083998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отходов </w:t>
      </w:r>
      <w:r w:rsidR="00083998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использование позволит сократить объёмы отходов, направляемых на захоронение</w:t>
      </w:r>
      <w:r w:rsidR="00034FF4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998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F4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их в строительную индустрию, либо использовать в сфере дорожного строительства</w:t>
      </w:r>
      <w:r w:rsidR="00CB6A13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продлевая тем самым жизненный цикл продукции, развивая инфраструктуру муниципальных районов</w:t>
      </w:r>
      <w:r w:rsidR="00B15F4D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строительство «зелёных» (</w:t>
      </w:r>
      <w:proofErr w:type="spellStart"/>
      <w:r w:rsidR="00B15F4D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proofErr w:type="gramStart"/>
      <w:r w:rsidR="00B15F4D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15F4D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15F4D" w:rsidRPr="001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15F4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B15F4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зданий </w:t>
      </w:r>
      <w:r w:rsidR="0019216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относительно дорогой стоимости </w:t>
      </w:r>
      <w:r w:rsidR="00B15F4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сократить негативное воздействие на окружающую среду, повысить качество</w:t>
      </w:r>
      <w:r w:rsidR="0019216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комфортность </w:t>
      </w:r>
      <w:r w:rsidR="00B15F4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</w:t>
      </w:r>
      <w:r w:rsidR="0019216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F4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сократить </w:t>
      </w:r>
      <w:r w:rsidR="0019216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</w:t>
      </w:r>
      <w:r w:rsidR="00B15F4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847DD3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3AB" w:rsidRDefault="00847DD3" w:rsidP="000E699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6BB" w:rsidRPr="003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органического сельского хозяйства</w:t>
      </w:r>
      <w:r w:rsidR="00C2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80159" w:rsidRDefault="00C233AB" w:rsidP="0038015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 уровне принят Федеральный закон </w:t>
      </w:r>
      <w:r w:rsidR="00C84CC0" w:rsidRP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Ульяновская область – первый субъект Российской Федерации, в котором утверждён региональный закон </w:t>
      </w:r>
      <w:r w:rsidR="00380159" w:rsidRP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05.07.2013 № 106-ЗО </w:t>
      </w:r>
      <w:r w:rsidR="00C84CC0" w:rsidRP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</w:t>
      </w:r>
      <w:r w:rsidR="00380159" w:rsidRP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C84CC0" w:rsidRP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производителей органических продуктов в Ульяновской области»</w:t>
      </w:r>
      <w:r w:rsidR="0038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5B" w:rsidRDefault="00380159" w:rsidP="0038015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Целесообразность: пол</w:t>
      </w:r>
      <w:r w:rsid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здоровья</w:t>
      </w:r>
      <w:r w:rsidR="0091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E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ассортимента, повышение доступности «здорового» питания на региональном рынке; </w:t>
      </w:r>
      <w:r w:rsidR="008D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узнаваемость ульяновского бренда на российском и международно</w:t>
      </w:r>
      <w:r w:rsidR="000E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рынке органической продукции.</w:t>
      </w:r>
    </w:p>
    <w:p w:rsidR="00E40D08" w:rsidRDefault="00E40D08" w:rsidP="000E699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61" w:rsidRPr="00617AFE" w:rsidRDefault="00913861" w:rsidP="0091386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Цель,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13861" w:rsidRPr="00617AFE" w:rsidRDefault="00913861" w:rsidP="0091386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61" w:rsidRPr="00617AFE" w:rsidRDefault="00913861" w:rsidP="0091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˗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устойчивой, 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ресурсоэффективной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экономики, направленной на повышение уровня и качества жизни в Ульяновской области.</w:t>
      </w:r>
    </w:p>
    <w:p w:rsidR="00913861" w:rsidRPr="00617AFE" w:rsidRDefault="00913861" w:rsidP="0091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предполагается путём решения следующих 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3861" w:rsidRPr="00617AFE" w:rsidRDefault="00913861" w:rsidP="0091386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принципов «зелёной» экономики в приоритетных отраслях;</w:t>
      </w:r>
    </w:p>
    <w:p w:rsidR="00913861" w:rsidRPr="00617AFE" w:rsidRDefault="00913861" w:rsidP="0091386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внедрения модели замкнутого цикла на предприятиях Ульяновской области, новых 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ресус</w:t>
      </w: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энергосберегающих технологий;</w:t>
      </w:r>
    </w:p>
    <w:p w:rsidR="00913861" w:rsidRPr="00617AFE" w:rsidRDefault="00913861" w:rsidP="0091386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появления «зелёных» производств и создания рабочих мест;</w:t>
      </w:r>
    </w:p>
    <w:p w:rsidR="00913861" w:rsidRDefault="00913861" w:rsidP="0091386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на ресурсную базу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устаревшую инфраструктуру;</w:t>
      </w:r>
    </w:p>
    <w:p w:rsidR="00913861" w:rsidRDefault="00913861" w:rsidP="0091386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негативного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на окружающую среду</w:t>
      </w:r>
      <w:r w:rsidRP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861" w:rsidRDefault="00913861" w:rsidP="000E699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66" w:rsidRDefault="00C41266" w:rsidP="000E699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D7" w:rsidRPr="00080898" w:rsidRDefault="00E834A5" w:rsidP="0008089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мероприятий </w:t>
      </w:r>
      <w:r w:rsidR="00841475" w:rsidRPr="0008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08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</w:p>
    <w:p w:rsidR="000A62E0" w:rsidRPr="000A62E0" w:rsidRDefault="000A62E0" w:rsidP="000A62E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3AC" w:rsidRPr="00617AFE" w:rsidRDefault="00E834A5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и решение задач </w:t>
      </w:r>
      <w:r w:rsidR="0084147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92F6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осуществляются путё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скоординированного выполнения мероприятий </w:t>
      </w:r>
      <w:r w:rsidR="00F10BEA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30C23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863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C23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0B3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BEA" w:rsidRPr="00CB50D7" w:rsidRDefault="00F10BEA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DE" w:rsidRPr="00C5251F" w:rsidRDefault="00DA1E8C" w:rsidP="00C5251F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FA33E4" w:rsidRPr="00C5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</w:t>
      </w:r>
      <w:r w:rsidR="0099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</w:t>
      </w:r>
      <w:r w:rsidR="002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3E4" w:rsidRPr="00C5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переработки отходов и повторного производства</w:t>
      </w:r>
    </w:p>
    <w:p w:rsidR="00DA1E8C" w:rsidRPr="00CB50D7" w:rsidRDefault="00DA1E8C" w:rsidP="00CB50D7">
      <w:pPr>
        <w:pStyle w:val="a4"/>
        <w:tabs>
          <w:tab w:val="left" w:pos="1276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9E" w:rsidRDefault="001C45DE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существующей системы обращения с отходами показал, что в ней отсутствует основное звено циклической экономики – предприятия по переработке отходов, изготавливающие продукцию из вторсырья. </w:t>
      </w:r>
    </w:p>
    <w:p w:rsidR="00992F66" w:rsidRPr="00617AFE" w:rsidRDefault="00992F66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привлекательные условия для таких организаций.</w:t>
      </w:r>
    </w:p>
    <w:p w:rsidR="003E22BB" w:rsidRPr="003E22BB" w:rsidRDefault="00992F66" w:rsidP="00E76A2B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стимулирования развития отрасли переработки отх</w:t>
      </w:r>
      <w:r w:rsidR="00A45B6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производства и потребления, необходимо предусмотреть возможность получения статуса </w:t>
      </w:r>
      <w:r w:rsidR="00A45B6F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значимого инвестиционного проекта</w:t>
      </w:r>
      <w:r w:rsidR="00A45B6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45B6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A45B6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обработке и утилизации отходов, утилизации отсортированных материалов, производство продукции из вторичного сырья</w:t>
      </w:r>
      <w:r w:rsidR="00A45B6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соответствующих налоговых преференций (0 % по налогу на имущество организаций и транспортному налогу, 13,5% по налогу на прибыль), предоставление льгот по налогу на землю в</w:t>
      </w:r>
      <w:proofErr w:type="gram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становление (на 5 лет).</w:t>
      </w:r>
      <w:r w:rsidRPr="0061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66" w:rsidRPr="003E22BB" w:rsidRDefault="004A445D" w:rsidP="003E22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о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бъём инвестиций на строительство </w:t>
      </w:r>
      <w:r w:rsid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мусороперерабатывающего завода составляет от </w:t>
      </w:r>
      <w:r w:rsid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млн. рублей. Количество новых рабочих мест – от </w:t>
      </w:r>
      <w:r w:rsidR="00527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200. </w:t>
      </w:r>
      <w:r w:rsidR="0007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эффективность </w:t>
      </w:r>
      <w:r w:rsidR="0052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(НДФЛ) </w:t>
      </w:r>
      <w:r w:rsidR="0007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52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</w:t>
      </w:r>
      <w:r w:rsid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до </w:t>
      </w:r>
      <w:r w:rsid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7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6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07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1-2 предприятий по переработке отходов в промышленных масштаба</w:t>
      </w:r>
      <w:r w:rsidR="00A45B6F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5B6F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00-500 тыс. тонн в год) позволит говорить о зарождении отрасли повторного производства на территории Ульяновской области. Со стороны органов местного самоуправления может быть оказана поддержка данным хозяйствующим субъектам в виде </w:t>
      </w:r>
      <w:r w:rsidR="00992F66" w:rsidRPr="003E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 по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66" w:rsidRPr="003E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налогу на землю</w:t>
      </w:r>
      <w:r w:rsidR="00992F66" w:rsidRPr="003E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становления предприятия (5 лет).</w:t>
      </w:r>
    </w:p>
    <w:p w:rsidR="002039D7" w:rsidRDefault="002039D7" w:rsidP="00E76A2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 предварительный опрос, только 1 из 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хозяйствующих субъектов рассматривают вопрос внедрения ресурсосберегающих технологий на производстве, переход на замкнутый цикл производства. Затраты на внедрение ресурсосберегающих технологий в разы превышают ежегодные платежи (экологический сбор и плата за размещение отходов производства и потребления). Собственник не заинтересован инвестировать средства в переработку отходов собственного производства. Здесь необходима поддержка со стороны государства и информированность о новых технологиях и эффективности их внедрения. </w:t>
      </w:r>
    </w:p>
    <w:p w:rsidR="002039D7" w:rsidRPr="002039D7" w:rsidRDefault="002039D7" w:rsidP="0020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78A0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стимулировать бизнес внедрять </w:t>
      </w:r>
      <w:r w:rsidR="00A45B6F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F178A0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замкнутого цикла. С этой целью </w:t>
      </w:r>
      <w:r w:rsidR="00BC1C86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E8B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редусматривается </w:t>
      </w:r>
      <w:r w:rsidR="005C2E8B" w:rsidRPr="0020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субсидирование части затрат</w:t>
      </w:r>
      <w:r w:rsidR="005C2E8B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30%) предприятий на приобретение оборудования и внедрение технологии по переработке и рециркуляции отходов собственного производства.</w:t>
      </w:r>
      <w:r w:rsidR="00BC1C86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750" w:rsidRPr="002039D7" w:rsidRDefault="00501CC0" w:rsidP="0020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F305B2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п</w:t>
      </w:r>
      <w:r w:rsidR="00F305B2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рерабатываемых отходов, производительности. </w:t>
      </w:r>
      <w:r w:rsidR="002039D7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размер субсидии также может варьироваться исходя из данных параметров. Например, с</w:t>
      </w:r>
      <w:r w:rsidR="00AB2750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комплекта оборудования по переработке пластика составляет 4,21 – 6 млн. рублей</w:t>
      </w:r>
      <w:r w:rsidR="002039D7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B2750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линии по переработке древесных отходов в </w:t>
      </w:r>
      <w:proofErr w:type="spellStart"/>
      <w:r w:rsidR="00AB2750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пеллеты</w:t>
      </w:r>
      <w:proofErr w:type="spellEnd"/>
      <w:r w:rsidR="00AB2750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12,8 – 15 млн. рублей</w:t>
      </w:r>
      <w:r w:rsidR="002039D7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912ADD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линии по переработке шин в крошку – 2-10 млн. рублей</w:t>
      </w:r>
      <w:r w:rsidR="002039D7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9D7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912ADD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комплекта оборудования по переработке макулатуры в бумагу </w:t>
      </w:r>
      <w:r w:rsidR="000A2866"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300 тыс. до 3 млн. рублей.</w:t>
      </w:r>
      <w:r w:rsidRPr="0020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C3" w:rsidRDefault="00F838D7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4F0BB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информации администраций муниципальных </w:t>
      </w:r>
      <w:r w:rsidR="004F0BB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образований,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насчитывается не более 10 организаций, осуществляющих переработку отходов собственного производства и их повторное использование (среди  них ОАО «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Улпласт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ПФ «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Инзенский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ДОЗ», ООО «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Евроизол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«Ульяновский моторный завод», ООО «Компания вторсырье переработка», ООО «Силикат», ООО «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СимбирскВторРесурс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E76A2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68C" w:rsidRPr="00617AFE" w:rsidRDefault="00F178A0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9B15C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год позволит вовлечь в циклическую экономику не менее </w:t>
      </w:r>
      <w:r w:rsidR="009B15C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</w:t>
      </w:r>
      <w:r w:rsidR="00FE64A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2030 году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AF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нагрузки на бюджет при этом будет составлять 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AF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млн. рублей в год.</w:t>
      </w:r>
      <w:r w:rsidR="005F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затраты 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вернутся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через 5 лет за счёт </w:t>
      </w:r>
      <w:r w:rsidR="005F2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9D6B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имущество организаций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налога на доходы физических лиц</w:t>
      </w:r>
      <w:r w:rsidR="009D6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2B" w:rsidRPr="00617AFE" w:rsidRDefault="00E76A2B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проведённого о</w:t>
      </w:r>
      <w:r w:rsidR="0018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среди хозя</w:t>
      </w:r>
      <w:r w:rsidR="004D2B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субъектов данная мера является наиболее востребованной.</w:t>
      </w:r>
    </w:p>
    <w:p w:rsidR="00B4030F" w:rsidRPr="00A1226E" w:rsidRDefault="00E76A2B" w:rsidP="0056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C5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20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Стимулирующей мерой может стать </w:t>
      </w:r>
      <w:r w:rsidR="004D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возмещение части затрат предприя</w:t>
      </w:r>
      <w:r w:rsidR="0003420F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тий</w:t>
      </w:r>
      <w:r w:rsidR="0071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переработку отходов и производство продукции из вторсырья,</w:t>
      </w:r>
      <w:r w:rsidR="0003420F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транспортировку </w:t>
      </w:r>
      <w:r w:rsidR="0071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отходов и </w:t>
      </w:r>
      <w:r w:rsidR="0003420F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вторичных материальных ресурсов</w:t>
      </w:r>
      <w:r w:rsidR="0003420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сырьём для производства нового вида продукции в процессе их пере</w:t>
      </w:r>
      <w:r w:rsidR="00A12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работки.</w:t>
      </w:r>
    </w:p>
    <w:p w:rsidR="00A1226E" w:rsidRPr="00A1226E" w:rsidRDefault="00A1226E" w:rsidP="00A1226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предприятий 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180 млн. в год. </w:t>
      </w:r>
    </w:p>
    <w:p w:rsidR="00B4030F" w:rsidRPr="00617AFE" w:rsidRDefault="00B4030F" w:rsidP="00B4030F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</w:t>
      </w:r>
      <w:r w:rsidR="0056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(20%)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транспортировку </w:t>
      </w:r>
      <w:r w:rsidR="0071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отходов,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вторичного сырья от предприятий на территории Ульяновской области позволит объединять предприятия в замкнутую цепь, где отходы производства одной компании являются сырьём для другого производства. Это значительно снизит объёмы </w:t>
      </w:r>
      <w:r w:rsidR="006B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накопленных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6B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наращивать объёмы производства вторичной продукции,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рост добавленной стоимости готовой продукции.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мера не столь окупаема в финансовом плане, однако выгода для государства заключатся в экологическом и социальном эффекте.</w:t>
      </w:r>
      <w:r w:rsidR="0056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обязательным условием для получателя субсидии должно стать создание новых рабочих мест, либо увеличение </w:t>
      </w:r>
      <w:proofErr w:type="gramStart"/>
      <w:r w:rsidR="00566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оплаты труда работников производства</w:t>
      </w:r>
      <w:proofErr w:type="gramEnd"/>
      <w:r w:rsidR="0056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отходов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счёт снижения себестоимости</w:t>
      </w:r>
      <w:r w:rsidR="000C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56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B" w:rsidRPr="00617AFE" w:rsidRDefault="00E76A2B" w:rsidP="001D1937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ведение реестра организаций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утилизацию отходов, в том числе собственного производства, производителей продукции из вторичного сырья. На сегодняшний день такой реестр отсутствует. </w:t>
      </w: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реестр должен быть публичным, а эффективные практики внедрения модели замкнутого цикла - общедоступными для вовлечения в данный процесс перехода большего числа хозяйствующих субъектов.</w:t>
      </w:r>
      <w:proofErr w:type="gramEnd"/>
    </w:p>
    <w:p w:rsidR="00FA2411" w:rsidRPr="00617AFE" w:rsidRDefault="00E63CAD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C1C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фактором </w:t>
      </w:r>
      <w:r w:rsidR="00645A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внедрения </w:t>
      </w:r>
      <w:proofErr w:type="spellStart"/>
      <w:r w:rsidR="00645A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="00645A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энергосберегающих технологий </w:t>
      </w:r>
      <w:r w:rsidR="00BC1C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поддержка НИОК</w:t>
      </w:r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1C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инноваций</w:t>
      </w:r>
      <w:r w:rsidR="00DA1E8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proofErr w:type="spellStart"/>
      <w:r w:rsidR="00DA1E8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экологизацию</w:t>
      </w:r>
      <w:proofErr w:type="spellEnd"/>
      <w:r w:rsidR="00DA1E8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BC1C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A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E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стороны региона </w:t>
      </w:r>
      <w:r w:rsidR="00DA1E8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5C2E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</w:t>
      </w:r>
      <w:r w:rsidR="005C2E8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грантова</w:t>
      </w:r>
      <w:r w:rsidR="00BC1C86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C2E8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поддержка </w:t>
      </w:r>
      <w:r w:rsidR="00BC1C86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исследований и </w:t>
      </w:r>
      <w:r w:rsidR="005C2E8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</w:t>
      </w:r>
      <w:r w:rsidR="00BC1C86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736D05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</w:t>
      </w:r>
      <w:proofErr w:type="spellStart"/>
      <w:r w:rsidR="00736D05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</w:t>
      </w:r>
      <w:proofErr w:type="spellEnd"/>
      <w:r w:rsidR="00736D05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 ресурсосбережения</w:t>
      </w:r>
      <w:r w:rsidR="00BC1C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значение для «зелёного» роста </w:t>
      </w:r>
      <w:r w:rsidR="005C2E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отраслей экономики Ульяновской области.</w:t>
      </w:r>
      <w:r w:rsidR="00FA2411" w:rsidRPr="00617AFE">
        <w:rPr>
          <w:rFonts w:ascii="Times New Roman" w:hAnsi="Times New Roman" w:cs="Times New Roman"/>
          <w:sz w:val="28"/>
          <w:szCs w:val="28"/>
        </w:rPr>
        <w:t xml:space="preserve"> Д</w:t>
      </w:r>
      <w:r w:rsidR="00FA241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анную тему необходимо включ</w:t>
      </w:r>
      <w:r w:rsidR="001A449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41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</w:t>
      </w:r>
      <w:r w:rsidR="00FA241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приоритетных тем научных исследований, по которым Российский фонд фундаментальных исследований проводит конкурс проектов. </w:t>
      </w:r>
    </w:p>
    <w:p w:rsidR="005D59B7" w:rsidRPr="00617AFE" w:rsidRDefault="00E63CAD" w:rsidP="0061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5A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B7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местах необходимо создавать условия для </w:t>
      </w:r>
      <w:r w:rsidR="00765B79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раздельного сбора мусора</w:t>
      </w:r>
      <w:r w:rsidR="00765B7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10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вопрос является весьма спорным. Многие эксперты, основываясь на неудачном опыте внедрения системы раздельного сбора в других регионах, полагают, что</w:t>
      </w:r>
      <w:r w:rsidR="00E976F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целесообразнее создавать сортировочные центры. </w:t>
      </w:r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внедрения раздельного сбора следует начинать с конца к технологической цепи: прежде всего</w:t>
      </w:r>
      <w:r w:rsidR="00B155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B155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переработку отсортированного мусора, </w:t>
      </w:r>
      <w:r w:rsidR="009E510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раздельную </w:t>
      </w:r>
      <w:r w:rsidR="00B155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транспортировку, </w:t>
      </w:r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после этого имеет смысл начинать установку </w:t>
      </w:r>
      <w:proofErr w:type="spellStart"/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спецконтейнеров</w:t>
      </w:r>
      <w:proofErr w:type="spellEnd"/>
      <w:r w:rsidR="00617AE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домовладениях. </w:t>
      </w:r>
    </w:p>
    <w:p w:rsidR="00381305" w:rsidRPr="005F2559" w:rsidRDefault="005F1210" w:rsidP="0061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данном этапе</w:t>
      </w:r>
      <w:r w:rsidR="009E5102" w:rsidRPr="005F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(2019-2021 годы) </w:t>
      </w:r>
      <w:r w:rsidRPr="005F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более целесообразно поддержать компании, осуществляющие сортировку и переработку мусора в виде предоставления налоговых преференций.</w:t>
      </w:r>
    </w:p>
    <w:p w:rsidR="00B86AC4" w:rsidRPr="00617AFE" w:rsidRDefault="009E5102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59B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раздельного сбора целесообразно опробовать</w:t>
      </w:r>
      <w:r w:rsidR="003F004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пилотн</w:t>
      </w:r>
      <w:r w:rsidR="003775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004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DC3CB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F004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литет</w:t>
      </w:r>
      <w:r w:rsidR="003775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F2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в </w:t>
      </w:r>
      <w:proofErr w:type="spellStart"/>
      <w:r w:rsidR="003F004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Сенгилеевском</w:t>
      </w:r>
      <w:proofErr w:type="spellEnd"/>
      <w:r w:rsidR="00B155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155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Инзенском</w:t>
      </w:r>
      <w:proofErr w:type="spellEnd"/>
      <w:r w:rsidR="00A271C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1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775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E2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04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E2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которых </w:t>
      </w:r>
      <w:r w:rsidR="00714F2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варианты размещения перерабатывающ</w:t>
      </w:r>
      <w:r w:rsidR="00DC3CB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14F2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</w:t>
      </w:r>
      <w:r w:rsidR="00DC3CB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1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полигона</w:t>
      </w:r>
      <w:r w:rsidR="00714F2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отсортированного мусора не потребует дополнительных затрат, </w:t>
      </w:r>
      <w:r w:rsidR="00BC691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оснащение мест сбора мусора контейнерами для раздельного сбора, </w:t>
      </w:r>
      <w:r w:rsidR="007E574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имеются 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</w:t>
      </w:r>
      <w:r w:rsidR="007E574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</w:t>
      </w:r>
      <w:r w:rsidR="003775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7E574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отходов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ACB" w:rsidRPr="00617AFE" w:rsidRDefault="005F2559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апробации системы раздельного сбора мусора</w:t>
      </w:r>
      <w:r w:rsidR="00E27E2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пилотных муниципалитетах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рассмотреть возможность введения </w:t>
      </w:r>
      <w:r w:rsidR="00B86AC4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льготного тарифа от населения на раздельный (сортируемы</w:t>
      </w:r>
      <w:r w:rsidR="0074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B86AC4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мусор</w:t>
      </w:r>
      <w:r w:rsidR="00B86AC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0A4" w:rsidRDefault="003940A4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A4" w:rsidRPr="00617AFE" w:rsidRDefault="006708B0" w:rsidP="00A30C23">
      <w:pPr>
        <w:pStyle w:val="a4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Стимулирование развития распределённой энергетики на основе возобновляемых источников энергии</w:t>
      </w:r>
    </w:p>
    <w:p w:rsidR="006708B0" w:rsidRPr="00617AFE" w:rsidRDefault="006708B0" w:rsidP="00C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21" w:rsidRPr="00617AFE" w:rsidRDefault="005D5E12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E450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возобновляемым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энергии</w:t>
      </w:r>
      <w:r w:rsidR="003775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ВИЭ)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энергию </w:t>
      </w:r>
      <w:r w:rsidR="00615BD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лнца, земли, ветра, воздуха, атомную и биоэнергию. </w:t>
      </w:r>
    </w:p>
    <w:p w:rsidR="007E3406" w:rsidRDefault="001763F9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Pr="00617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GFA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Envest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технический потенциал</w:t>
      </w:r>
      <w:r w:rsidR="00FC4DD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</w:t>
      </w:r>
      <w:r w:rsidR="001E450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возобновляемых источников энергии </w:t>
      </w:r>
      <w:r w:rsidR="00FC4DD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  4,6</w:t>
      </w:r>
      <w:r w:rsidR="00A271C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D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тонн условного топлива в год, что в 4 раза превышает текущий объем потребления всех топливно-энергетических ресурсов в стране. </w:t>
      </w:r>
    </w:p>
    <w:p w:rsidR="00314519" w:rsidRPr="00617AFE" w:rsidRDefault="00314519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Ульяновская область уже стала передовиком по развитию ветроэнергетики: </w:t>
      </w:r>
      <w:r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проект по строительству </w:t>
      </w:r>
      <w:proofErr w:type="spellStart"/>
      <w:r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вертопарка</w:t>
      </w:r>
      <w:proofErr w:type="spellEnd"/>
      <w:r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ветроэнергетического кластера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987" w:rsidRPr="00617AFE" w:rsidRDefault="00296875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9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мер по развитию ВИЭ является </w:t>
      </w:r>
      <w:r w:rsidR="003E1987" w:rsidRPr="004D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популяризация технологий выработки энергии из </w:t>
      </w:r>
      <w:r w:rsidR="004D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ВИЭ</w:t>
      </w:r>
      <w:r w:rsidR="003E19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доводить информацию о новых доступных технологиях до населения и бизнеса.</w:t>
      </w:r>
    </w:p>
    <w:p w:rsidR="002A5703" w:rsidRPr="00617AFE" w:rsidRDefault="001E4CE2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устаревания и большой нагрузки на сети с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 обратить особое внимание на </w:t>
      </w:r>
      <w:r w:rsidR="005D5E12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распределённую энергетику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многих производствах в процессе производства продукции, в том числе переработки ТБО, 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и тепло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как побочный продукт. Зачастую, вырабатываемого количества 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и 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 хватает для собственных нужд, излишки компании 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готовы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продавать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на сегодняшний день 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них не располагают знаниями 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процедуре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к сетям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потребителям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19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19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0F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фообразовании</w:t>
      </w:r>
      <w:proofErr w:type="spellEnd"/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продажу излишков энергии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малых объёмов энергии трудно выйти на энергетический рынок. 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7C1C" w:rsidRPr="004D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информировать их об изменениях в законодательстве, оказывать консультационную поддержку, сопровождение таких компаний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Функция по сопровождению </w:t>
      </w:r>
      <w:r w:rsidR="00AD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продвижению 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ВИЭ в регионе ляжет на Центр развития энергетики, «зелёных» и инвестиционных технологий</w:t>
      </w:r>
      <w:r w:rsidR="004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(управляю</w:t>
      </w:r>
      <w:r w:rsidR="00AD60C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компанию кластера возобновляемой энергетики)</w:t>
      </w:r>
      <w:r w:rsidR="00337C1C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5E1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D24" w:rsidRDefault="00A021A0" w:rsidP="005D5B41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административного сопровождения проектов ВИЭ, целесообразно возобновить действие программы по </w:t>
      </w:r>
      <w:r w:rsidRPr="005D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субсидированию предприятиям затрат на приобретение оборудования, производящего электрическую и тепловую энергию из</w:t>
      </w:r>
      <w:r w:rsidR="005D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ВИЭ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432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428" w:rsidRDefault="00CB022B" w:rsidP="004B420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биогазового комплекса для получения биогаза из органических отходов составляет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тыс. рублей. Стоимость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сплит-системы для горячего водоснабжения и отопления объёмом 500 л с 2 солнечными коллекторами составляет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B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proofErr w:type="spellStart"/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пеллетных</w:t>
      </w:r>
      <w:proofErr w:type="spellEnd"/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 варьируется в зависимости от мощности: 50 кВт – 231 тыс. рублей, 386 к Вт – 800 </w:t>
      </w:r>
      <w:proofErr w:type="spellStart"/>
      <w:proofErr w:type="gramStart"/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911кВт – 1875 тыс. рублей. </w:t>
      </w:r>
    </w:p>
    <w:p w:rsidR="00403E41" w:rsidRDefault="004B4204" w:rsidP="004B420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(до 30%) на приобретение генераторов энергии из ВИЭ на </w:t>
      </w:r>
      <w:r w:rsidR="00437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установок в год потребует выделения из областного бюджета порядка </w:t>
      </w:r>
      <w:r w:rsidR="00437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6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ABD" w:rsidRPr="0034522D" w:rsidRDefault="00FC5ABD" w:rsidP="0034522D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законодательством Российской Федерации не предусмотрена реализация гражданами изл</w:t>
      </w:r>
      <w:r w:rsidR="003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 электроэнергии ВИЭ в сеть, что тормозит процесс развития малой распределённой энергетики, снижая её экономическую</w:t>
      </w:r>
      <w:r w:rsidR="000B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2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эффективность.</w:t>
      </w:r>
      <w:r>
        <w:t xml:space="preserve"> </w:t>
      </w:r>
      <w:r w:rsidRPr="0034522D">
        <w:rPr>
          <w:rFonts w:ascii="Times New Roman" w:hAnsi="Times New Roman" w:cs="Times New Roman"/>
          <w:sz w:val="28"/>
          <w:szCs w:val="28"/>
        </w:rPr>
        <w:t xml:space="preserve">Целесообразно направить соответствующее предложение в Министерство энергетики </w:t>
      </w:r>
      <w:r w:rsidR="003452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4522D">
        <w:rPr>
          <w:rFonts w:ascii="Times New Roman" w:hAnsi="Times New Roman" w:cs="Times New Roman"/>
          <w:sz w:val="28"/>
          <w:szCs w:val="28"/>
        </w:rPr>
        <w:t xml:space="preserve">о внесении изменений в действующее законодательство об </w:t>
      </w:r>
      <w:r w:rsidR="0034522D" w:rsidRPr="0034522D"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34522D">
        <w:rPr>
          <w:rFonts w:ascii="Times New Roman" w:hAnsi="Times New Roman" w:cs="Times New Roman"/>
          <w:sz w:val="28"/>
          <w:szCs w:val="28"/>
        </w:rPr>
        <w:t>, предусматривающих</w:t>
      </w:r>
      <w:r>
        <w:t xml:space="preserve"> </w:t>
      </w:r>
      <w:r w:rsidRPr="0034522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Pr="00345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реализации излишков электроэнергии, вырабатываемой от объектов ВИЭ, в сети общего пользования</w:t>
      </w:r>
      <w:r w:rsidR="003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реализации «зелёной» энергии</w:t>
      </w:r>
      <w:r w:rsidRPr="003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E12" w:rsidRPr="00FC5ABD" w:rsidRDefault="005D5E12" w:rsidP="00CB50D7">
      <w:pPr>
        <w:pStyle w:val="a4"/>
        <w:numPr>
          <w:ilvl w:val="0"/>
          <w:numId w:val="2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распределённой энергетики позволит получить максимально полезный эффект: резервирование мощности, удешевление энергоснабжения потребителей, повышение качества энергоснабжения.</w:t>
      </w:r>
      <w:r w:rsidR="00B62137" w:rsidRPr="00FC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B0" w:rsidRPr="00617AFE" w:rsidRDefault="006708B0" w:rsidP="00C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7" w:rsidRPr="00617AFE" w:rsidRDefault="00296875" w:rsidP="002968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BE548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470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E548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 w:rsidR="003B3470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E548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</w:t>
      </w:r>
      <w:r w:rsidR="007110C4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</w:t>
      </w:r>
      <w:r w:rsidR="00AA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ески чистого </w:t>
      </w:r>
      <w:r w:rsidR="00BE548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</w:t>
      </w:r>
    </w:p>
    <w:p w:rsidR="00BE5487" w:rsidRPr="00617AFE" w:rsidRDefault="00BE5487" w:rsidP="00CB50D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D7" w:rsidRPr="00617AFE" w:rsidRDefault="00CB50D7" w:rsidP="00C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является повышение </w:t>
      </w:r>
      <w:proofErr w:type="spellStart"/>
      <w:r w:rsidRPr="00617A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17AFE">
        <w:rPr>
          <w:rFonts w:ascii="Times New Roman" w:hAnsi="Times New Roman" w:cs="Times New Roman"/>
          <w:sz w:val="28"/>
          <w:szCs w:val="28"/>
        </w:rPr>
        <w:t xml:space="preserve"> общественного транспорта за счёт перевода его на чистое топливо (газ и электричество). Метан (компримированны</w:t>
      </w:r>
      <w:r w:rsidR="004D2BCF">
        <w:rPr>
          <w:rFonts w:ascii="Times New Roman" w:hAnsi="Times New Roman" w:cs="Times New Roman"/>
          <w:sz w:val="28"/>
          <w:szCs w:val="28"/>
        </w:rPr>
        <w:t>й</w:t>
      </w:r>
      <w:r w:rsidRPr="00617AFE">
        <w:rPr>
          <w:rFonts w:ascii="Times New Roman" w:hAnsi="Times New Roman" w:cs="Times New Roman"/>
          <w:sz w:val="28"/>
          <w:szCs w:val="28"/>
        </w:rPr>
        <w:t xml:space="preserve"> природный газ</w:t>
      </w:r>
      <w:r w:rsidR="00377587" w:rsidRPr="00617AFE">
        <w:rPr>
          <w:rFonts w:ascii="Times New Roman" w:hAnsi="Times New Roman" w:cs="Times New Roman"/>
          <w:sz w:val="28"/>
          <w:szCs w:val="28"/>
        </w:rPr>
        <w:t>, далее - КПГ</w:t>
      </w:r>
      <w:r w:rsidRPr="00617AFE">
        <w:rPr>
          <w:rFonts w:ascii="Times New Roman" w:hAnsi="Times New Roman" w:cs="Times New Roman"/>
          <w:sz w:val="28"/>
          <w:szCs w:val="28"/>
        </w:rPr>
        <w:t xml:space="preserve">) имеет высокое октановое число, </w:t>
      </w:r>
      <w:proofErr w:type="gramStart"/>
      <w:r w:rsidRPr="00617AFE">
        <w:rPr>
          <w:rFonts w:ascii="Times New Roman" w:hAnsi="Times New Roman" w:cs="Times New Roman"/>
          <w:sz w:val="28"/>
          <w:szCs w:val="28"/>
        </w:rPr>
        <w:t>меньшую</w:t>
      </w:r>
      <w:proofErr w:type="gramEnd"/>
      <w:r w:rsidRPr="0061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AFE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617AFE">
        <w:rPr>
          <w:rFonts w:ascii="Times New Roman" w:hAnsi="Times New Roman" w:cs="Times New Roman"/>
          <w:sz w:val="28"/>
          <w:szCs w:val="28"/>
        </w:rPr>
        <w:t xml:space="preserve">, чем бензин или </w:t>
      </w:r>
      <w:r w:rsidR="00377587" w:rsidRPr="00617AFE">
        <w:rPr>
          <w:rFonts w:ascii="Times New Roman" w:hAnsi="Times New Roman" w:cs="Times New Roman"/>
          <w:sz w:val="28"/>
          <w:szCs w:val="28"/>
        </w:rPr>
        <w:t>сжиженный углеводородный газ</w:t>
      </w:r>
      <w:r w:rsidR="009D4196" w:rsidRPr="00617AFE">
        <w:rPr>
          <w:rFonts w:ascii="Times New Roman" w:hAnsi="Times New Roman" w:cs="Times New Roman"/>
          <w:sz w:val="28"/>
          <w:szCs w:val="28"/>
        </w:rPr>
        <w:t xml:space="preserve"> (далее – СУГ)</w:t>
      </w:r>
      <w:r w:rsidRPr="00617AFE">
        <w:rPr>
          <w:rFonts w:ascii="Times New Roman" w:hAnsi="Times New Roman" w:cs="Times New Roman"/>
          <w:sz w:val="28"/>
          <w:szCs w:val="28"/>
        </w:rPr>
        <w:t xml:space="preserve">, относится к наиболее </w:t>
      </w:r>
      <w:proofErr w:type="spellStart"/>
      <w:r w:rsidRPr="00617AFE">
        <w:rPr>
          <w:rFonts w:ascii="Times New Roman" w:hAnsi="Times New Roman" w:cs="Times New Roman"/>
          <w:sz w:val="28"/>
          <w:szCs w:val="28"/>
        </w:rPr>
        <w:lastRenderedPageBreak/>
        <w:t>экологичным</w:t>
      </w:r>
      <w:proofErr w:type="spellEnd"/>
      <w:r w:rsidRPr="00617AFE">
        <w:rPr>
          <w:rFonts w:ascii="Times New Roman" w:hAnsi="Times New Roman" w:cs="Times New Roman"/>
          <w:sz w:val="28"/>
          <w:szCs w:val="28"/>
        </w:rPr>
        <w:t xml:space="preserve"> видам топлива и соответствует стандарту «Евро-5»/«Евро-6». Его использование обеспечивает в 9 раз меньш</w:t>
      </w:r>
      <w:r w:rsidR="00377587" w:rsidRPr="00617AFE">
        <w:rPr>
          <w:rFonts w:ascii="Times New Roman" w:hAnsi="Times New Roman" w:cs="Times New Roman"/>
          <w:sz w:val="28"/>
          <w:szCs w:val="28"/>
        </w:rPr>
        <w:t>ее загрязнение</w:t>
      </w:r>
      <w:r w:rsidRPr="00617AFE">
        <w:rPr>
          <w:rFonts w:ascii="Times New Roman" w:hAnsi="Times New Roman" w:cs="Times New Roman"/>
          <w:sz w:val="28"/>
          <w:szCs w:val="28"/>
        </w:rPr>
        <w:t xml:space="preserve"> окружающего воздуха. Транспортные средства, использующие компримированный природный газ, имеют меньшие эксплуатационные расходы. Стоимость 100 километров пробега легковых автомобилей, грузовиков и автобусов на КПГ в 1,5</w:t>
      </w:r>
      <w:r w:rsidR="00CE29A0">
        <w:rPr>
          <w:rFonts w:ascii="Times New Roman" w:hAnsi="Times New Roman" w:cs="Times New Roman"/>
          <w:sz w:val="28"/>
          <w:szCs w:val="28"/>
        </w:rPr>
        <w:t xml:space="preserve"> - </w:t>
      </w:r>
      <w:r w:rsidRPr="00617AFE">
        <w:rPr>
          <w:rFonts w:ascii="Times New Roman" w:hAnsi="Times New Roman" w:cs="Times New Roman"/>
          <w:sz w:val="28"/>
          <w:szCs w:val="28"/>
        </w:rPr>
        <w:t>2,5 раза ниже аналогичного показателя для транспорта на бензине, дизельном топливе или</w:t>
      </w:r>
      <w:r w:rsidR="009D4196" w:rsidRPr="00617AFE">
        <w:rPr>
          <w:rFonts w:ascii="Times New Roman" w:hAnsi="Times New Roman" w:cs="Times New Roman"/>
          <w:sz w:val="28"/>
          <w:szCs w:val="28"/>
        </w:rPr>
        <w:t xml:space="preserve"> СУГ</w:t>
      </w:r>
      <w:r w:rsidRPr="0061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0D7" w:rsidRPr="00617AFE" w:rsidRDefault="00CB50D7" w:rsidP="00C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>Таким образом, перевод транспортн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ых средств на </w:t>
      </w:r>
      <w:r w:rsidR="00C62273">
        <w:rPr>
          <w:rFonts w:ascii="Times New Roman" w:hAnsi="Times New Roman" w:cs="Times New Roman"/>
          <w:sz w:val="28"/>
          <w:szCs w:val="28"/>
        </w:rPr>
        <w:t>КПГ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 выгоден </w:t>
      </w:r>
      <w:r w:rsidR="00C62273">
        <w:rPr>
          <w:rFonts w:ascii="Times New Roman" w:hAnsi="Times New Roman" w:cs="Times New Roman"/>
          <w:sz w:val="28"/>
          <w:szCs w:val="28"/>
        </w:rPr>
        <w:t>ввиду</w:t>
      </w:r>
      <w:r w:rsidRPr="00617AFE">
        <w:rPr>
          <w:rFonts w:ascii="Times New Roman" w:hAnsi="Times New Roman" w:cs="Times New Roman"/>
          <w:sz w:val="28"/>
          <w:szCs w:val="28"/>
        </w:rPr>
        <w:t xml:space="preserve"> сок</w:t>
      </w:r>
      <w:r w:rsidR="009D4196" w:rsidRPr="00617AFE">
        <w:rPr>
          <w:rFonts w:ascii="Times New Roman" w:hAnsi="Times New Roman" w:cs="Times New Roman"/>
          <w:sz w:val="28"/>
          <w:szCs w:val="28"/>
        </w:rPr>
        <w:t xml:space="preserve">ращения затрат на </w:t>
      </w:r>
      <w:r w:rsidRPr="00617AFE">
        <w:rPr>
          <w:rFonts w:ascii="Times New Roman" w:hAnsi="Times New Roman" w:cs="Times New Roman"/>
          <w:sz w:val="28"/>
          <w:szCs w:val="28"/>
        </w:rPr>
        <w:t>топливо как для коммерческих и государственных предприятий, у которых снижаются издержки на содержани</w:t>
      </w:r>
      <w:r w:rsidR="009D4196" w:rsidRPr="00617AFE">
        <w:rPr>
          <w:rFonts w:ascii="Times New Roman" w:hAnsi="Times New Roman" w:cs="Times New Roman"/>
          <w:sz w:val="28"/>
          <w:szCs w:val="28"/>
        </w:rPr>
        <w:t xml:space="preserve">е автопарков, так и для </w:t>
      </w:r>
      <w:r w:rsidR="00C62273">
        <w:rPr>
          <w:rFonts w:ascii="Times New Roman" w:hAnsi="Times New Roman" w:cs="Times New Roman"/>
          <w:sz w:val="28"/>
          <w:szCs w:val="28"/>
        </w:rPr>
        <w:t>населения</w:t>
      </w:r>
      <w:r w:rsidRPr="00617AFE">
        <w:rPr>
          <w:rFonts w:ascii="Times New Roman" w:hAnsi="Times New Roman" w:cs="Times New Roman"/>
          <w:sz w:val="28"/>
          <w:szCs w:val="28"/>
        </w:rPr>
        <w:t xml:space="preserve">. Перевод транспортных </w:t>
      </w:r>
      <w:r w:rsidR="009D4196" w:rsidRPr="00617AFE">
        <w:rPr>
          <w:rFonts w:ascii="Times New Roman" w:hAnsi="Times New Roman" w:cs="Times New Roman"/>
          <w:sz w:val="28"/>
          <w:szCs w:val="28"/>
        </w:rPr>
        <w:t xml:space="preserve">средств областного </w:t>
      </w:r>
      <w:r w:rsidRPr="00617AFE">
        <w:rPr>
          <w:rFonts w:ascii="Times New Roman" w:hAnsi="Times New Roman" w:cs="Times New Roman"/>
          <w:sz w:val="28"/>
          <w:szCs w:val="28"/>
        </w:rPr>
        <w:t>и муниципального автопарка на альтернативные виды топлива позволит</w:t>
      </w:r>
      <w:r w:rsidR="009D4196" w:rsidRPr="00617AFE">
        <w:rPr>
          <w:rFonts w:ascii="Times New Roman" w:hAnsi="Times New Roman" w:cs="Times New Roman"/>
          <w:sz w:val="28"/>
          <w:szCs w:val="28"/>
        </w:rPr>
        <w:t xml:space="preserve"> снизить эксплуатационные издержки</w:t>
      </w:r>
      <w:r w:rsidRPr="00617AFE">
        <w:rPr>
          <w:rFonts w:ascii="Times New Roman" w:hAnsi="Times New Roman" w:cs="Times New Roman"/>
          <w:sz w:val="28"/>
          <w:szCs w:val="28"/>
        </w:rPr>
        <w:t>.</w:t>
      </w:r>
    </w:p>
    <w:p w:rsidR="001A4CF4" w:rsidRDefault="00CB50D7" w:rsidP="00C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AF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13.05.2013 № 767-р «О расширении использования природного газа в качестве моторного топлива» для субъектов Российской Федерации определены целевые показатели доведения к 2020 году использования природного газа на общественном автомобильном транспорте и транспорте дорожно-коммунальных служб – от 10% (для городов с численностью населения  </w:t>
      </w:r>
      <w:proofErr w:type="spellStart"/>
      <w:r w:rsidRPr="00617AFE">
        <w:rPr>
          <w:rFonts w:ascii="Times New Roman" w:hAnsi="Times New Roman" w:cs="Times New Roman"/>
          <w:sz w:val="28"/>
          <w:szCs w:val="28"/>
        </w:rPr>
        <w:t>болше</w:t>
      </w:r>
      <w:proofErr w:type="spellEnd"/>
      <w:r w:rsidRPr="00617AFE">
        <w:rPr>
          <w:rFonts w:ascii="Times New Roman" w:hAnsi="Times New Roman" w:cs="Times New Roman"/>
          <w:sz w:val="28"/>
          <w:szCs w:val="28"/>
        </w:rPr>
        <w:t xml:space="preserve"> 100 тыс. чел.) до 50% (для городов с чи</w:t>
      </w:r>
      <w:r w:rsidR="009D4196" w:rsidRPr="00617AFE">
        <w:rPr>
          <w:rFonts w:ascii="Times New Roman" w:hAnsi="Times New Roman" w:cs="Times New Roman"/>
          <w:sz w:val="28"/>
          <w:szCs w:val="28"/>
        </w:rPr>
        <w:t>сленностью населения более 1 млн</w:t>
      </w:r>
      <w:r w:rsidRPr="00617AFE">
        <w:rPr>
          <w:rFonts w:ascii="Times New Roman" w:hAnsi="Times New Roman" w:cs="Times New Roman"/>
          <w:sz w:val="28"/>
          <w:szCs w:val="28"/>
        </w:rPr>
        <w:t>. чел</w:t>
      </w:r>
      <w:proofErr w:type="gramEnd"/>
      <w:r w:rsidRPr="00617AFE">
        <w:rPr>
          <w:rFonts w:ascii="Times New Roman" w:hAnsi="Times New Roman" w:cs="Times New Roman"/>
          <w:sz w:val="28"/>
          <w:szCs w:val="28"/>
        </w:rPr>
        <w:t xml:space="preserve">.). Наравне с другими регионами </w:t>
      </w:r>
      <w:bookmarkStart w:id="0" w:name="_Hlk506973231"/>
      <w:r w:rsidRPr="00617AFE">
        <w:rPr>
          <w:rFonts w:ascii="Times New Roman" w:hAnsi="Times New Roman" w:cs="Times New Roman"/>
          <w:sz w:val="28"/>
          <w:szCs w:val="28"/>
        </w:rPr>
        <w:t>в Ульяновской области уже осуществляется постепенный перевод общественного тра</w:t>
      </w:r>
      <w:r w:rsidR="0013243D" w:rsidRPr="00617AFE">
        <w:rPr>
          <w:rFonts w:ascii="Times New Roman" w:hAnsi="Times New Roman" w:cs="Times New Roman"/>
          <w:sz w:val="28"/>
          <w:szCs w:val="28"/>
        </w:rPr>
        <w:t>нспорта на газомоторное топливо</w:t>
      </w:r>
      <w:r w:rsidRPr="00617AFE">
        <w:rPr>
          <w:rFonts w:ascii="Times New Roman" w:hAnsi="Times New Roman" w:cs="Times New Roman"/>
          <w:sz w:val="28"/>
          <w:szCs w:val="28"/>
        </w:rPr>
        <w:t>.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D8C">
        <w:rPr>
          <w:rFonts w:ascii="Times New Roman" w:hAnsi="Times New Roman" w:cs="Times New Roman"/>
          <w:sz w:val="28"/>
          <w:szCs w:val="28"/>
        </w:rPr>
        <w:t>По информации профильного ведомства д</w:t>
      </w:r>
      <w:r w:rsidR="0013243D" w:rsidRPr="00617AFE">
        <w:rPr>
          <w:rFonts w:ascii="Times New Roman" w:hAnsi="Times New Roman" w:cs="Times New Roman"/>
          <w:sz w:val="28"/>
          <w:szCs w:val="28"/>
        </w:rPr>
        <w:t>оля автобусов,</w:t>
      </w:r>
      <w:r w:rsidR="003D4349">
        <w:rPr>
          <w:rFonts w:ascii="Times New Roman" w:hAnsi="Times New Roman" w:cs="Times New Roman"/>
          <w:sz w:val="28"/>
          <w:szCs w:val="28"/>
        </w:rPr>
        <w:t xml:space="preserve"> осуществляющих регулярные пассажирские перевозки,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 использующих природный газ</w:t>
      </w:r>
      <w:r w:rsidR="001A4CF4">
        <w:rPr>
          <w:rFonts w:ascii="Times New Roman" w:hAnsi="Times New Roman" w:cs="Times New Roman"/>
          <w:sz w:val="28"/>
          <w:szCs w:val="28"/>
        </w:rPr>
        <w:t xml:space="preserve">, </w:t>
      </w:r>
      <w:r w:rsidR="0013243D" w:rsidRPr="00617AFE">
        <w:rPr>
          <w:rFonts w:ascii="Times New Roman" w:hAnsi="Times New Roman" w:cs="Times New Roman"/>
          <w:sz w:val="28"/>
          <w:szCs w:val="28"/>
        </w:rPr>
        <w:t>составляет 17,5%</w:t>
      </w:r>
      <w:r w:rsidR="003D4349">
        <w:rPr>
          <w:rFonts w:ascii="Times New Roman" w:hAnsi="Times New Roman" w:cs="Times New Roman"/>
          <w:sz w:val="28"/>
          <w:szCs w:val="28"/>
        </w:rPr>
        <w:t>. К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 2019 году значение данного показателя  планируется довести до 25%</w:t>
      </w:r>
      <w:r w:rsidR="0082106D">
        <w:rPr>
          <w:rFonts w:ascii="Times New Roman" w:hAnsi="Times New Roman" w:cs="Times New Roman"/>
          <w:sz w:val="28"/>
          <w:szCs w:val="28"/>
        </w:rPr>
        <w:t xml:space="preserve">. 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 </w:t>
      </w:r>
      <w:r w:rsidR="001A4CF4">
        <w:rPr>
          <w:rFonts w:ascii="Times New Roman" w:hAnsi="Times New Roman" w:cs="Times New Roman"/>
          <w:sz w:val="28"/>
          <w:szCs w:val="28"/>
        </w:rPr>
        <w:t xml:space="preserve">Однако доля автотранспорта, использующего КПГ, в общем количестве </w:t>
      </w:r>
      <w:r w:rsidR="001C4D8C">
        <w:rPr>
          <w:rFonts w:ascii="Times New Roman" w:hAnsi="Times New Roman" w:cs="Times New Roman"/>
          <w:sz w:val="28"/>
          <w:szCs w:val="28"/>
        </w:rPr>
        <w:t xml:space="preserve">автотранспорта в Ульяновской области довольно </w:t>
      </w:r>
      <w:r w:rsidR="001A4CF4">
        <w:rPr>
          <w:rFonts w:ascii="Times New Roman" w:hAnsi="Times New Roman" w:cs="Times New Roman"/>
          <w:sz w:val="28"/>
          <w:szCs w:val="28"/>
        </w:rPr>
        <w:t>низкая: легковых автомобилей – 0,05%, грузовых автомобилей – 0,3%, автобусов – 2,5%.</w:t>
      </w:r>
      <w:r w:rsidR="001C4D8C">
        <w:rPr>
          <w:rFonts w:ascii="Times New Roman" w:hAnsi="Times New Roman" w:cs="Times New Roman"/>
          <w:sz w:val="28"/>
          <w:szCs w:val="28"/>
        </w:rPr>
        <w:t xml:space="preserve"> Данные показатели ставят на регион на 2 место в Приволжском федеральном округе по</w:t>
      </w:r>
      <w:proofErr w:type="gramEnd"/>
      <w:r w:rsidR="001C4D8C">
        <w:rPr>
          <w:rFonts w:ascii="Times New Roman" w:hAnsi="Times New Roman" w:cs="Times New Roman"/>
          <w:sz w:val="28"/>
          <w:szCs w:val="28"/>
        </w:rPr>
        <w:t xml:space="preserve"> доле легковых автомобилей и автобусов,  и на 5 место по доле грузовых автомобилей.</w:t>
      </w:r>
    </w:p>
    <w:p w:rsidR="00CB50D7" w:rsidRPr="00617AFE" w:rsidRDefault="001A4CF4" w:rsidP="00C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243D" w:rsidRPr="00617AFE">
        <w:rPr>
          <w:rFonts w:ascii="Times New Roman" w:hAnsi="Times New Roman" w:cs="Times New Roman"/>
          <w:sz w:val="28"/>
          <w:szCs w:val="28"/>
        </w:rPr>
        <w:t xml:space="preserve">а территории г. Ульяновска действует 4 заправочные станции, до конца года планируется ввести в эксплуатацию еще 2, прорабатывается вопрос строительства заправочных станций в </w:t>
      </w:r>
      <w:proofErr w:type="spellStart"/>
      <w:r w:rsidR="0013243D" w:rsidRPr="00617AFE">
        <w:rPr>
          <w:rFonts w:ascii="Times New Roman" w:hAnsi="Times New Roman" w:cs="Times New Roman"/>
          <w:sz w:val="28"/>
          <w:szCs w:val="28"/>
        </w:rPr>
        <w:t>Инзе</w:t>
      </w:r>
      <w:r w:rsidR="003D4349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13243D" w:rsidRPr="00617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43D" w:rsidRPr="00617AFE">
        <w:rPr>
          <w:rFonts w:ascii="Times New Roman" w:hAnsi="Times New Roman" w:cs="Times New Roman"/>
          <w:sz w:val="28"/>
          <w:szCs w:val="28"/>
        </w:rPr>
        <w:t>Барыш</w:t>
      </w:r>
      <w:r w:rsidR="003D434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13243D" w:rsidRPr="00617AFE">
        <w:rPr>
          <w:rFonts w:ascii="Times New Roman" w:hAnsi="Times New Roman" w:cs="Times New Roman"/>
          <w:sz w:val="28"/>
          <w:szCs w:val="28"/>
        </w:rPr>
        <w:t xml:space="preserve">, Новоспасском, </w:t>
      </w:r>
      <w:proofErr w:type="spellStart"/>
      <w:r w:rsidR="0013243D" w:rsidRPr="00617AFE">
        <w:rPr>
          <w:rFonts w:ascii="Times New Roman" w:hAnsi="Times New Roman" w:cs="Times New Roman"/>
          <w:sz w:val="28"/>
          <w:szCs w:val="28"/>
        </w:rPr>
        <w:t>Николаевк</w:t>
      </w:r>
      <w:r w:rsidR="003D434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3243D" w:rsidRPr="00617A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243D" w:rsidRPr="00617AFE">
        <w:rPr>
          <w:rFonts w:ascii="Times New Roman" w:hAnsi="Times New Roman" w:cs="Times New Roman"/>
          <w:sz w:val="28"/>
          <w:szCs w:val="28"/>
        </w:rPr>
        <w:t>Карсун</w:t>
      </w:r>
      <w:r w:rsidR="003D434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3D4349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3B225B" w:rsidRPr="00617AFE">
        <w:rPr>
          <w:rFonts w:ascii="Times New Roman" w:hAnsi="Times New Roman" w:cs="Times New Roman"/>
          <w:sz w:val="28"/>
          <w:szCs w:val="28"/>
        </w:rPr>
        <w:t>. Министерством промышленности, строительства, ЖКК и транспорта определена оптимальная структура и разработана «дорожная карта» по переходу к оптимальной структуре автотранспортного парка на газомоторном топливе и развития сети заправочных станций.</w:t>
      </w:r>
    </w:p>
    <w:bookmarkEnd w:id="0"/>
    <w:p w:rsidR="00C01B29" w:rsidRPr="00617AFE" w:rsidRDefault="00CB50D7" w:rsidP="00C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 xml:space="preserve">Беря во внимание то, что при затратах на переоборудование автотранспортных средств на КПГ от 90 тыс. руб. для легковых автомобилей до 600 тыс. руб. для большегрузных автомобилей, срок окупаемости составляет 6 месяцев, можно судить о существенной выгоде использования данного вида топлива. </w:t>
      </w:r>
      <w:bookmarkStart w:id="1" w:name="_Hlk506973290"/>
    </w:p>
    <w:p w:rsidR="001241E0" w:rsidRPr="00617AFE" w:rsidRDefault="001241E0" w:rsidP="00296875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AF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дополнительной меры по стимулированию использования перевозчиками </w:t>
      </w:r>
      <w:r w:rsidR="003D4349">
        <w:rPr>
          <w:rFonts w:ascii="Times New Roman" w:hAnsi="Times New Roman" w:cs="Times New Roman"/>
          <w:sz w:val="28"/>
          <w:szCs w:val="28"/>
        </w:rPr>
        <w:t xml:space="preserve">газомоторного топлива </w:t>
      </w:r>
      <w:r w:rsidRPr="00617AFE">
        <w:rPr>
          <w:rFonts w:ascii="Times New Roman" w:hAnsi="Times New Roman" w:cs="Times New Roman"/>
          <w:sz w:val="28"/>
          <w:szCs w:val="28"/>
        </w:rPr>
        <w:t xml:space="preserve">на территории г. Ульяновска постановлением администрации г. Ульяновска от 30.11.2016 № 3220 «Об утверждении Положения об открытом конкурсе на право осуществления перевозок по муниципальным маршрутам регулярных перевозок автомобильным транспортом на территории муниципального </w:t>
      </w:r>
      <w:r w:rsidR="00AA10BE" w:rsidRPr="00617AFE">
        <w:rPr>
          <w:rFonts w:ascii="Times New Roman" w:hAnsi="Times New Roman" w:cs="Times New Roman"/>
          <w:sz w:val="28"/>
          <w:szCs w:val="28"/>
        </w:rPr>
        <w:t>образования</w:t>
      </w:r>
      <w:r w:rsidRPr="00617AFE">
        <w:rPr>
          <w:rFonts w:ascii="Times New Roman" w:hAnsi="Times New Roman" w:cs="Times New Roman"/>
          <w:sz w:val="28"/>
          <w:szCs w:val="28"/>
        </w:rPr>
        <w:t xml:space="preserve"> «город Ульяновск» предусмотрено </w:t>
      </w:r>
      <w:r w:rsidRPr="002A2A37">
        <w:rPr>
          <w:rFonts w:ascii="Times New Roman" w:hAnsi="Times New Roman" w:cs="Times New Roman"/>
          <w:b/>
          <w:sz w:val="28"/>
          <w:szCs w:val="28"/>
        </w:rPr>
        <w:t>предоставление дополнительных преимуществ организациям, использующим транспортные средства, работающие на газомоторном топливе</w:t>
      </w:r>
      <w:r w:rsidR="008623AB" w:rsidRPr="002A2A37">
        <w:rPr>
          <w:rFonts w:ascii="Times New Roman" w:hAnsi="Times New Roman" w:cs="Times New Roman"/>
          <w:b/>
          <w:sz w:val="28"/>
          <w:szCs w:val="28"/>
        </w:rPr>
        <w:t>,</w:t>
      </w:r>
      <w:r w:rsidRPr="002A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AFE">
        <w:rPr>
          <w:rFonts w:ascii="Times New Roman" w:hAnsi="Times New Roman" w:cs="Times New Roman"/>
          <w:sz w:val="28"/>
          <w:szCs w:val="28"/>
        </w:rPr>
        <w:t xml:space="preserve">при проведении конкурсных </w:t>
      </w:r>
      <w:r w:rsidR="00AA10BE" w:rsidRPr="00617AFE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Pr="00617AFE">
        <w:rPr>
          <w:rFonts w:ascii="Times New Roman" w:hAnsi="Times New Roman" w:cs="Times New Roman"/>
          <w:sz w:val="28"/>
          <w:szCs w:val="28"/>
        </w:rPr>
        <w:t xml:space="preserve"> на право получения свидетельства об осуществлении перевозок пассажиров по маршрутам регулярных перевозок</w:t>
      </w:r>
      <w:r w:rsidR="00AA10BE" w:rsidRPr="00617AFE">
        <w:rPr>
          <w:rFonts w:ascii="Times New Roman" w:hAnsi="Times New Roman" w:cs="Times New Roman"/>
          <w:sz w:val="28"/>
          <w:szCs w:val="28"/>
        </w:rPr>
        <w:t>. Аналогичные меры целесообразно принять на областном уровне и рекомендовать для муниципальных образований области.</w:t>
      </w:r>
    </w:p>
    <w:p w:rsidR="00E16D24" w:rsidRPr="00617AFE" w:rsidRDefault="00CB50D7" w:rsidP="00296875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 xml:space="preserve">Следующим шагом </w:t>
      </w:r>
      <w:r w:rsidR="00EF6B04" w:rsidRPr="00617AFE">
        <w:rPr>
          <w:rFonts w:ascii="Times New Roman" w:hAnsi="Times New Roman" w:cs="Times New Roman"/>
          <w:sz w:val="28"/>
          <w:szCs w:val="28"/>
        </w:rPr>
        <w:t>должно стать стимулирование развития электротранспорта (электробусов и электромобилей)</w:t>
      </w:r>
      <w:r w:rsidRPr="00617AFE">
        <w:rPr>
          <w:rFonts w:ascii="Times New Roman" w:hAnsi="Times New Roman" w:cs="Times New Roman"/>
          <w:sz w:val="28"/>
          <w:szCs w:val="28"/>
        </w:rPr>
        <w:t xml:space="preserve">, </w:t>
      </w:r>
      <w:r w:rsidRPr="002A2A37">
        <w:rPr>
          <w:rFonts w:ascii="Times New Roman" w:hAnsi="Times New Roman" w:cs="Times New Roman"/>
          <w:b/>
          <w:sz w:val="28"/>
          <w:szCs w:val="28"/>
        </w:rPr>
        <w:t>введение финансовых стимулов с целью поощрения по</w:t>
      </w:r>
      <w:r w:rsidR="00EF6B04" w:rsidRPr="002A2A37">
        <w:rPr>
          <w:rFonts w:ascii="Times New Roman" w:hAnsi="Times New Roman" w:cs="Times New Roman"/>
          <w:b/>
          <w:sz w:val="28"/>
          <w:szCs w:val="28"/>
        </w:rPr>
        <w:t>купки населением электромобилей в виде освобождения от уплаты транспортного налога владельцев электромобилей</w:t>
      </w:r>
      <w:r w:rsidR="00EF6B04" w:rsidRPr="00617AFE">
        <w:rPr>
          <w:rFonts w:ascii="Times New Roman" w:hAnsi="Times New Roman" w:cs="Times New Roman"/>
          <w:sz w:val="28"/>
          <w:szCs w:val="28"/>
        </w:rPr>
        <w:t xml:space="preserve"> сроком на 5 лет. </w:t>
      </w:r>
    </w:p>
    <w:p w:rsidR="006D7829" w:rsidRPr="00617AFE" w:rsidRDefault="00FA5596" w:rsidP="00296875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 xml:space="preserve">Неотъемлемым условием должно стать создание условий для развития соответствующей инфраструктуры (автомобильных электрических станций). </w:t>
      </w:r>
      <w:r w:rsidR="00D114F5" w:rsidRPr="00617AFE">
        <w:rPr>
          <w:rFonts w:ascii="Times New Roman" w:hAnsi="Times New Roman" w:cs="Times New Roman"/>
          <w:sz w:val="28"/>
          <w:szCs w:val="28"/>
        </w:rPr>
        <w:t>Стоимость альтернативных станций выше обычных</w:t>
      </w:r>
      <w:r w:rsidR="002A2A37">
        <w:rPr>
          <w:rFonts w:ascii="Times New Roman" w:hAnsi="Times New Roman" w:cs="Times New Roman"/>
          <w:sz w:val="28"/>
          <w:szCs w:val="28"/>
        </w:rPr>
        <w:t>, п</w:t>
      </w:r>
      <w:r w:rsidR="00D114F5" w:rsidRPr="00617AFE">
        <w:rPr>
          <w:rFonts w:ascii="Times New Roman" w:hAnsi="Times New Roman" w:cs="Times New Roman"/>
          <w:sz w:val="28"/>
          <w:szCs w:val="28"/>
        </w:rPr>
        <w:t xml:space="preserve">оэтому здесь </w:t>
      </w:r>
      <w:r w:rsidR="002A2A37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D114F5" w:rsidRPr="00617AFE">
        <w:rPr>
          <w:rFonts w:ascii="Times New Roman" w:hAnsi="Times New Roman" w:cs="Times New Roman"/>
          <w:sz w:val="28"/>
          <w:szCs w:val="28"/>
        </w:rPr>
        <w:t>предусмотреть преференции по выделению земельных участков для таких станций.</w:t>
      </w:r>
      <w:r w:rsidR="006D7829" w:rsidRPr="00617AFE">
        <w:t xml:space="preserve"> </w:t>
      </w:r>
      <w:r w:rsidR="006D7829" w:rsidRPr="00617AFE">
        <w:rPr>
          <w:rFonts w:ascii="Times New Roman" w:hAnsi="Times New Roman" w:cs="Times New Roman"/>
          <w:sz w:val="28"/>
          <w:szCs w:val="28"/>
        </w:rPr>
        <w:t>Зарядные станции (терминалы) для электротранспорта входят в перечень объектов, 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  <w:r w:rsidR="00F532F9" w:rsidRPr="00617AFE">
        <w:t xml:space="preserve"> </w:t>
      </w:r>
      <w:r w:rsidR="00F532F9" w:rsidRPr="00617AFE">
        <w:rPr>
          <w:rFonts w:ascii="Times New Roman" w:hAnsi="Times New Roman" w:cs="Times New Roman"/>
          <w:sz w:val="28"/>
          <w:szCs w:val="28"/>
        </w:rPr>
        <w:t>Стимулирующ</w:t>
      </w:r>
      <w:r w:rsidR="00736C00" w:rsidRPr="00617AFE">
        <w:rPr>
          <w:rFonts w:ascii="Times New Roman" w:hAnsi="Times New Roman" w:cs="Times New Roman"/>
          <w:sz w:val="28"/>
          <w:szCs w:val="28"/>
        </w:rPr>
        <w:t>ей</w:t>
      </w:r>
      <w:r w:rsidR="00F532F9" w:rsidRPr="00617AFE">
        <w:rPr>
          <w:rFonts w:ascii="Times New Roman" w:hAnsi="Times New Roman" w:cs="Times New Roman"/>
          <w:sz w:val="28"/>
          <w:szCs w:val="28"/>
        </w:rPr>
        <w:t xml:space="preserve"> мер</w:t>
      </w:r>
      <w:r w:rsidR="00736C00" w:rsidRPr="00617AFE">
        <w:rPr>
          <w:rFonts w:ascii="Times New Roman" w:hAnsi="Times New Roman" w:cs="Times New Roman"/>
          <w:sz w:val="28"/>
          <w:szCs w:val="28"/>
        </w:rPr>
        <w:t>ой</w:t>
      </w:r>
      <w:r w:rsidR="00F532F9" w:rsidRPr="00617AFE">
        <w:rPr>
          <w:rFonts w:ascii="Times New Roman" w:hAnsi="Times New Roman" w:cs="Times New Roman"/>
          <w:sz w:val="28"/>
          <w:szCs w:val="28"/>
        </w:rPr>
        <w:t xml:space="preserve"> здесь мо</w:t>
      </w:r>
      <w:r w:rsidR="00736C00" w:rsidRPr="00617AFE">
        <w:rPr>
          <w:rFonts w:ascii="Times New Roman" w:hAnsi="Times New Roman" w:cs="Times New Roman"/>
          <w:sz w:val="28"/>
          <w:szCs w:val="28"/>
        </w:rPr>
        <w:t>жет</w:t>
      </w:r>
      <w:r w:rsidR="00F532F9" w:rsidRPr="00617AF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532F9" w:rsidRPr="00617AFE">
        <w:rPr>
          <w:rFonts w:ascii="Times New Roman" w:hAnsi="Times New Roman" w:cs="Times New Roman"/>
        </w:rPr>
        <w:t xml:space="preserve"> </w:t>
      </w:r>
      <w:r w:rsidR="00F532F9" w:rsidRPr="002A2A37">
        <w:rPr>
          <w:rFonts w:ascii="Times New Roman" w:hAnsi="Times New Roman" w:cs="Times New Roman"/>
          <w:b/>
          <w:sz w:val="28"/>
          <w:szCs w:val="28"/>
        </w:rPr>
        <w:t>снижение ставки налога на имущество компаниям, занимающимся развитием инфраструктуры для электромобилей.</w:t>
      </w:r>
    </w:p>
    <w:p w:rsidR="00950277" w:rsidRPr="00617AFE" w:rsidRDefault="00EF6B04" w:rsidP="00296875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55169">
        <w:rPr>
          <w:rFonts w:ascii="Times New Roman" w:hAnsi="Times New Roman" w:cs="Times New Roman"/>
          <w:b/>
          <w:sz w:val="28"/>
          <w:szCs w:val="28"/>
        </w:rPr>
        <w:t>стимулирования закупк</w:t>
      </w:r>
      <w:r w:rsidR="00FF67A1" w:rsidRPr="00B55169">
        <w:rPr>
          <w:rFonts w:ascii="Times New Roman" w:hAnsi="Times New Roman" w:cs="Times New Roman"/>
          <w:b/>
          <w:sz w:val="28"/>
          <w:szCs w:val="28"/>
        </w:rPr>
        <w:t xml:space="preserve">и электробусов предусматривается возмещение </w:t>
      </w:r>
      <w:r w:rsidR="00B946D6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FF67A1" w:rsidRPr="00B55169">
        <w:rPr>
          <w:rFonts w:ascii="Times New Roman" w:hAnsi="Times New Roman" w:cs="Times New Roman"/>
          <w:b/>
          <w:sz w:val="28"/>
          <w:szCs w:val="28"/>
        </w:rPr>
        <w:t>затрат перевозчикам</w:t>
      </w:r>
      <w:r w:rsidR="00FF67A1" w:rsidRPr="00617AFE">
        <w:rPr>
          <w:rFonts w:ascii="Times New Roman" w:hAnsi="Times New Roman" w:cs="Times New Roman"/>
          <w:sz w:val="28"/>
          <w:szCs w:val="28"/>
        </w:rPr>
        <w:t xml:space="preserve"> из средств областн</w:t>
      </w:r>
      <w:r w:rsidR="009D4196" w:rsidRPr="00617AFE">
        <w:rPr>
          <w:rFonts w:ascii="Times New Roman" w:hAnsi="Times New Roman" w:cs="Times New Roman"/>
          <w:sz w:val="28"/>
          <w:szCs w:val="28"/>
        </w:rPr>
        <w:t>ого бюджета Ульяновской области</w:t>
      </w:r>
      <w:r w:rsidR="00FF67A1" w:rsidRPr="00617AFE">
        <w:rPr>
          <w:rFonts w:ascii="Times New Roman" w:hAnsi="Times New Roman" w:cs="Times New Roman"/>
          <w:sz w:val="28"/>
          <w:szCs w:val="28"/>
        </w:rPr>
        <w:t>.</w:t>
      </w:r>
      <w:r w:rsidR="00063DCF" w:rsidRPr="00617AF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3B3470" w:rsidRPr="00617AFE" w:rsidRDefault="003B3470" w:rsidP="00CB50D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87" w:rsidRPr="00617AFE" w:rsidRDefault="00296875" w:rsidP="002968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="003B3470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7B44D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 w:rsidR="003B3470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B44D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«зелёного» строительства </w:t>
      </w:r>
    </w:p>
    <w:p w:rsidR="003B3470" w:rsidRPr="00617AFE" w:rsidRDefault="003B3470" w:rsidP="00CB50D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63" w:rsidRPr="00617AFE" w:rsidRDefault="00960963" w:rsidP="000D696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«зелёного» строительства является снижение уровня потребления энергетических и материальных ресурсов на протяжении всего жизненного цикла здания: от выбора участка</w:t>
      </w:r>
      <w:r w:rsidR="004A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4A09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</w:t>
      </w:r>
      <w:r w:rsidR="00B5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эксплуатации, ремонт</w:t>
      </w:r>
      <w:r w:rsidR="00B5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</w:t>
      </w:r>
      <w:r w:rsidR="00B5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64" w:rsidRPr="00617AFE" w:rsidRDefault="000D6964" w:rsidP="000D696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принципам зелёного строительства можно отнести:</w:t>
      </w:r>
    </w:p>
    <w:p w:rsidR="000D6964" w:rsidRPr="00617AFE" w:rsidRDefault="000D6964" w:rsidP="0080097C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использование различных материалов, а также энергетических и водных ресурсов;</w:t>
      </w:r>
    </w:p>
    <w:p w:rsidR="000D6964" w:rsidRPr="00617AFE" w:rsidRDefault="000D6964" w:rsidP="0080097C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экологически чистых </w:t>
      </w:r>
      <w:r w:rsidR="00D825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стройматериалов</w:t>
      </w:r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(древесина, стекло, пеностекло, металл и др.)</w:t>
      </w:r>
      <w:r w:rsidR="00D825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964" w:rsidRPr="00617AFE" w:rsidRDefault="000D6964" w:rsidP="0080097C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сведение к минимуму количества отходов и вредного воздействия на окружающую среду в целом;</w:t>
      </w:r>
    </w:p>
    <w:p w:rsidR="000D6964" w:rsidRPr="00617AFE" w:rsidRDefault="000D6964" w:rsidP="0080097C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возобновляемых источников энергии (солнечной,  </w:t>
      </w:r>
      <w:r w:rsidR="00D82586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масс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459" w:rsidRPr="00617AFE" w:rsidRDefault="000245F3" w:rsidP="0055645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C475A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елёных</w:t>
      </w:r>
      <w:r w:rsidR="00C475A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дор</w:t>
      </w:r>
      <w:r w:rsidR="0005179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обычных на 4</w:t>
      </w:r>
      <w:r w:rsidR="00C475A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05179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08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стоимость может быть амортизирована в ходе эксплуатации здания и обычно компенсируются в течение первых 3</w:t>
      </w:r>
      <w:r w:rsidR="0005179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за счёт снижения эксплуатационных издержек.</w:t>
      </w:r>
      <w:r w:rsidR="00E045CB" w:rsidRPr="00617AFE">
        <w:rPr>
          <w:sz w:val="28"/>
          <w:szCs w:val="28"/>
        </w:rPr>
        <w:t xml:space="preserve"> </w:t>
      </w:r>
      <w:r w:rsidR="0055645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Сертификация </w:t>
      </w:r>
      <w:r w:rsidR="004A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административных, производственных «зелёных» </w:t>
      </w:r>
      <w:r w:rsidR="00556459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помогает повысить привлекательность объектов недвижимости для инвесторов. Ряд зарубежных компаний соглашаются использовать офисные или производственные помещения только при наличии «зелёного» сертификата. Вместе с тем повышается стоимость аренды помещения, обладающего таким сертификатом, – примерно на 15%.</w:t>
      </w:r>
    </w:p>
    <w:p w:rsidR="00904BA8" w:rsidRPr="00617AFE" w:rsidRDefault="00904BA8" w:rsidP="000D696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сегменте жилой недвижимости устойчивое строительство в России не так популярно — собственники жилья не готовы платить за экологические решения, которые окупятся через </w:t>
      </w:r>
      <w:r w:rsidR="009B1088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0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</w:t>
      </w:r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появляются и здесь - ЖК «Т</w:t>
      </w:r>
      <w:r w:rsidR="00C71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риумф Парк» в Санкт-Петербурге. С</w:t>
      </w:r>
      <w:r w:rsidR="00001ABE" w:rsidRP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освещения общественных зон, система контроля и предотвращения утечек системы водоснабжения, </w:t>
      </w:r>
      <w:proofErr w:type="spellStart"/>
      <w:r w:rsidR="00001ABE" w:rsidRP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="00001ABE" w:rsidRP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решения устройства фасадов и крыши, использование материалов с пониженной тепловодностью позволяют достичь экономии энергопотребления и теплопотребления до 20%, водопотребления до 40%.</w:t>
      </w:r>
      <w:r w:rsid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1 м² в «зелёном» доме выше стандартной в 1,8 раза. </w:t>
      </w:r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применения </w:t>
      </w:r>
      <w:proofErr w:type="spellStart"/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="00DA0F3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материалов стоимость затрат жизненного цикла «зелёного» дома в 1,5 – 2,5 раза ниже затрат стандартного дома. </w:t>
      </w:r>
    </w:p>
    <w:p w:rsidR="002F165F" w:rsidRPr="00617AFE" w:rsidRDefault="008E5F83" w:rsidP="00AC5C3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стимулирующей меры может стать льгота, освобождающая объекты</w:t>
      </w:r>
      <w:r w:rsidR="00F43A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высокий класс энергетической эффективности, при наличии на них энергетического паспорта, </w:t>
      </w:r>
      <w:r w:rsidRPr="003C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уплаты налога на имущество в течение трех лет со дня их постановки на учет</w:t>
      </w:r>
      <w:r w:rsidR="00CA0B5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21 ст. 381 Налогового Кодекса Российской Федерации)</w:t>
      </w:r>
      <w:r w:rsidR="00F43A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</w:t>
      </w:r>
      <w:r w:rsidR="00BC57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73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закона на уровне региона</w:t>
      </w:r>
      <w:r w:rsidR="002F165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соответствие со ст. 381.1 Налогового кодекса РФ).</w:t>
      </w:r>
    </w:p>
    <w:p w:rsidR="00EE0BB5" w:rsidRPr="00617AFE" w:rsidRDefault="00556459" w:rsidP="00D055D7">
      <w:pPr>
        <w:pStyle w:val="a4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целей </w:t>
      </w:r>
      <w:proofErr w:type="spell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ресурсоэффективного</w:t>
      </w:r>
      <w:proofErr w:type="spell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заключается в </w:t>
      </w:r>
      <w:r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снижении отходов </w:t>
      </w:r>
      <w:r w:rsidR="008E5F83"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строительства</w:t>
      </w:r>
      <w:r w:rsidR="00D4408B"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(снова зданий)</w:t>
      </w:r>
      <w:r w:rsidR="008E5F83"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счёт их переработки и рацион</w:t>
      </w:r>
      <w:r w:rsidR="00DA0F30"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</w:t>
      </w:r>
      <w:r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использования материалов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Застройщики могут претендовать на государственную поддержку при приобретении оборудования по переработке отходов</w:t>
      </w:r>
      <w:r w:rsidR="0050068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субсидии на покупку </w:t>
      </w:r>
      <w:r w:rsidR="00EE0B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по переработке отходов собственного производства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B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0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Рециклинг</w:t>
      </w:r>
      <w:proofErr w:type="spellEnd"/>
      <w:r w:rsidR="00D440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EE0B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затраты на транспортировку и </w:t>
      </w:r>
      <w:r w:rsidR="00D440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D4408B" w:rsidRPr="0004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отходов</w:t>
      </w:r>
      <w:r w:rsidR="00D4408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полигонах. </w:t>
      </w:r>
      <w:r w:rsidR="00EE0B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042200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переработанных</w:t>
      </w:r>
      <w:r w:rsidR="00EE0B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может быть повторно использована в ходе строительства, часть –</w:t>
      </w:r>
      <w:r w:rsidR="002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</w:t>
      </w:r>
      <w:r w:rsidR="00EE0BB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вторичного сырья.</w:t>
      </w:r>
    </w:p>
    <w:p w:rsidR="003C48DC" w:rsidRDefault="003C48DC" w:rsidP="00D05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по переработке отходов, п</w:t>
      </w:r>
      <w:r w:rsidR="003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 рынков сбыта вторсырья – дополнительная нагрузка для застройщика, требующая временных, финансовых и человеческих ресурсов.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посреднических организаций по лицензированию данного вида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Pr="003C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r w:rsidRPr="003C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– 300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данных затрат деятельность по переработке строительных отходов экономически оправдана.</w:t>
      </w:r>
    </w:p>
    <w:p w:rsidR="000F1F6C" w:rsidRPr="00D055D7" w:rsidRDefault="00D4408B" w:rsidP="00D05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строительные отходы, как битый кирпич, бетон</w:t>
      </w:r>
      <w:r w:rsidR="00096288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986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88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прочий каменный материал после его дробления </w:t>
      </w:r>
      <w:r w:rsidR="00B2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востребован и </w:t>
      </w:r>
      <w:r w:rsidR="00096288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 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отсыпки и </w:t>
      </w:r>
      <w:proofErr w:type="gramStart"/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выравнивания</w:t>
      </w:r>
      <w:proofErr w:type="gramEnd"/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дорог, </w:t>
      </w:r>
      <w:r w:rsidR="0018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просёлочных, 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дачных дорог. </w:t>
      </w:r>
      <w:r w:rsidR="008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органов местного самоуправления муниципальных образований Ульяновской области, доля грунтовых автомобильных дорог общего пользования местного значения на конец 2017 года составляла 62% (4675,7 км). </w:t>
      </w:r>
      <w:r w:rsidR="0041333B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сортировки и дробления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</w:t>
      </w:r>
      <w:r w:rsidR="0041333B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41333B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 вторичного щебня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33B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 </w:t>
      </w:r>
      <w:r w:rsidR="0037191A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заключить </w:t>
      </w:r>
      <w:r w:rsidR="00B2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(договор) </w:t>
      </w:r>
      <w:r w:rsidR="0037191A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86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 щебня</w:t>
      </w:r>
      <w:r w:rsidR="00B2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096288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отсыпк</w:t>
      </w:r>
      <w:r w:rsidR="00B26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288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86"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временных, просёлочных, дачных дорог</w:t>
      </w:r>
      <w:r w:rsidRPr="00D0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1E73" w:rsidRPr="00A9771A" w:rsidRDefault="000F1F6C" w:rsidP="00AC5C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Застройщик, приобретая оборудование</w:t>
      </w:r>
      <w:r w:rsidR="00461B4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(дробильно-сортировочный комплекс)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отходов, может возместить часть стоимости приобретённого оборудования</w:t>
      </w:r>
      <w:r w:rsidR="00461B4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166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млн. рублей </w:t>
      </w:r>
      <w:r w:rsidR="00461B4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стоимост</w:t>
      </w:r>
      <w:r w:rsidR="003E6C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B4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5,2 млн. рублей)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</w:t>
      </w:r>
      <w:r w:rsidR="0014166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получить вторичный материал для повторного </w:t>
      </w:r>
      <w:r w:rsidR="0014166E" w:rsidRPr="00A9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процессе строительства, </w:t>
      </w:r>
      <w:r w:rsidR="00DD7E6C" w:rsidRPr="00A9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отсыпки грунтовых дорог местного значения, </w:t>
      </w:r>
      <w:r w:rsidR="0014166E" w:rsidRPr="00A97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продажи</w:t>
      </w:r>
      <w:r w:rsidR="00DD7E6C" w:rsidRPr="00A9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15EC0" w:rsidRDefault="00FC6E14" w:rsidP="00FC6E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отсыпки 1 км </w:t>
      </w:r>
      <w:proofErr w:type="spellStart"/>
      <w:r w:rsidR="007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двухполосной</w:t>
      </w:r>
      <w:proofErr w:type="spellEnd"/>
      <w:r w:rsidR="007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просёлочной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 w:rsidR="007B604F">
        <w:rPr>
          <w:rFonts w:ascii="Times New Roman" w:eastAsia="Times New Roman" w:hAnsi="Times New Roman" w:cs="Times New Roman"/>
          <w:sz w:val="28"/>
          <w:szCs w:val="28"/>
          <w:lang w:eastAsia="ru-RU"/>
        </w:rPr>
        <w:t>1345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щебня. </w:t>
      </w:r>
    </w:p>
    <w:p w:rsidR="00E15EC0" w:rsidRDefault="00FC6E14" w:rsidP="00FC6E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вывоза и размещения данного объёма строительного мусора</w:t>
      </w:r>
      <w:r w:rsidR="003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полигоне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застройщика составят </w:t>
      </w:r>
      <w:r w:rsidR="00D94091">
        <w:rPr>
          <w:rFonts w:ascii="Times New Roman" w:eastAsia="Times New Roman" w:hAnsi="Times New Roman" w:cs="Times New Roman"/>
          <w:sz w:val="28"/>
          <w:szCs w:val="28"/>
          <w:lang w:eastAsia="ru-RU"/>
        </w:rPr>
        <w:t>1,6 млн.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EC0" w:rsidRDefault="000A2CAD" w:rsidP="00FC6E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оборудования и лицензии на обработку и утилизацию отходов</w:t>
      </w:r>
      <w:r w:rsidR="001D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6E14"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реализации </w:t>
      </w:r>
      <w:r w:rsidR="00D94091">
        <w:rPr>
          <w:rFonts w:ascii="Times New Roman" w:eastAsia="Times New Roman" w:hAnsi="Times New Roman" w:cs="Times New Roman"/>
          <w:sz w:val="28"/>
          <w:szCs w:val="28"/>
          <w:lang w:eastAsia="ru-RU"/>
        </w:rPr>
        <w:t>1345</w:t>
      </w:r>
      <w:r w:rsidR="00FC6E14"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вторичного щебня</w:t>
      </w:r>
      <w:r w:rsidR="00A5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 400 рублей за тонну</w:t>
      </w:r>
      <w:r w:rsidR="00FC6E14"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застройщик получит </w:t>
      </w:r>
      <w:r w:rsidR="00A567A0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="00FC6E14"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7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FC6E14"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учёта стоимости доставки</w:t>
      </w:r>
      <w:r w:rsid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экономический эффект </w:t>
      </w:r>
      <w:r w:rsidR="001D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переработки, реализации и отсутствия </w:t>
      </w:r>
      <w:proofErr w:type="spellStart"/>
      <w:r w:rsidR="001D1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необходиости</w:t>
      </w:r>
      <w:proofErr w:type="spellEnd"/>
      <w:r w:rsidR="001D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строительных отходов </w:t>
      </w:r>
      <w:r w:rsidR="005D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8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9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</w:t>
      </w:r>
      <w:r w:rsidR="0087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9D7AEE" w:rsidRDefault="00FC6E14" w:rsidP="00FC6E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безвозмездного предоставления вторичного щебня заказчику для отсыпки дороги </w:t>
      </w:r>
      <w:r w:rsidR="00895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доставки</w:t>
      </w:r>
      <w:r w:rsidR="00895FDF"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к месту проведения дорожно-строительных работ расходы</w:t>
      </w:r>
      <w:r w:rsidR="00A9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вывоз и размещение переработанных отходов, н</w:t>
      </w:r>
      <w:r w:rsidR="00F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пригодных для использования в процессе строительства,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оставят </w:t>
      </w:r>
      <w:r w:rsidR="002129D0">
        <w:rPr>
          <w:rFonts w:ascii="Times New Roman" w:eastAsia="Times New Roman" w:hAnsi="Times New Roman" w:cs="Times New Roman"/>
          <w:sz w:val="28"/>
          <w:szCs w:val="28"/>
          <w:lang w:eastAsia="ru-RU"/>
        </w:rPr>
        <w:t>121 тыс.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A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экономия </w:t>
      </w:r>
      <w:r w:rsidR="00544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строительной компании составит</w:t>
      </w:r>
      <w:r w:rsidR="003A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3A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D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6 млн. – 538 тыс. – 121 тыс. = 1 млн. руб.)</w:t>
      </w:r>
      <w:r w:rsidRPr="00FC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1904" w:rsidRDefault="001D1904" w:rsidP="001D190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отходов при демонтаже 1 объекта (5-этажного многоквартирного кирпичного дома</w:t>
      </w: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3,7 тыс. </w:t>
      </w:r>
      <w:r w:rsidRP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покупкой оборудования, получением лицензии и уплатой налога на имущество</w:t>
      </w:r>
      <w:r w:rsidR="00A0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(3,9 млн.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окупятся застройщику </w:t>
      </w:r>
      <w:r w:rsidR="00A0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эксплуатации. </w:t>
      </w:r>
    </w:p>
    <w:p w:rsidR="00D41E73" w:rsidRDefault="009D7AEE" w:rsidP="00FC6E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соглашения между заказчиком (органом местного самоуправления, СНТ и др.) и строительной компанией на использование вторичного щебня для отсыпки дорог местного значения при условии его безвозмездного предоставления и транспортировки, строительной компании не потребуется искать рынки сбыта переработанного вторичного сырья и объекты для его размещения и хранения. </w:t>
      </w:r>
    </w:p>
    <w:p w:rsidR="00D41E73" w:rsidRDefault="0087230C" w:rsidP="00AC5C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Сравнительный анализ стоимости работ по отсыпке 1 км дороги грунтовым щебнем и вторичным щебнем при условии безвозмездного предоставления </w:t>
      </w:r>
      <w:r w:rsidR="0054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411E" w:rsidRPr="0054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материала к месту проведения дорожно-строительных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</w:t>
      </w:r>
      <w:r w:rsid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="00EA2F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A2F6F" w:rsidRDefault="00EA2F6F" w:rsidP="00EA2F6F">
      <w:pPr>
        <w:pStyle w:val="a4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EA2F6F" w:rsidRDefault="00EA2F6F" w:rsidP="00EA2F6F">
      <w:pPr>
        <w:pStyle w:val="a4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6F" w:rsidRPr="00EA2F6F" w:rsidRDefault="00EA2F6F" w:rsidP="00EA2F6F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Расчёт стоимости работ по отсыпке 1 км дороги грунтовым и вторичным щебнем при условии безвозмездного предоставления материала </w:t>
      </w:r>
    </w:p>
    <w:p w:rsidR="00EA2F6F" w:rsidRDefault="00EA2F6F" w:rsidP="00AC5C3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A1DB4" w:rsidRPr="00A9771A" w:rsidTr="004A1DB4">
        <w:tc>
          <w:tcPr>
            <w:tcW w:w="3284" w:type="dxa"/>
          </w:tcPr>
          <w:p w:rsidR="004A1DB4" w:rsidRPr="00A9771A" w:rsidRDefault="004A1DB4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4A1DB4" w:rsidRPr="00A9771A" w:rsidRDefault="004A1DB4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Грунтовый щебень</w:t>
            </w:r>
          </w:p>
        </w:tc>
        <w:tc>
          <w:tcPr>
            <w:tcW w:w="3285" w:type="dxa"/>
          </w:tcPr>
          <w:p w:rsidR="004A1DB4" w:rsidRPr="00A9771A" w:rsidRDefault="004A1DB4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Вторичный щебень</w:t>
            </w:r>
          </w:p>
        </w:tc>
      </w:tr>
      <w:tr w:rsidR="004A1DB4" w:rsidRPr="00A9771A" w:rsidTr="004A1DB4">
        <w:tc>
          <w:tcPr>
            <w:tcW w:w="3284" w:type="dxa"/>
          </w:tcPr>
          <w:p w:rsidR="004A1DB4" w:rsidRPr="00A9771A" w:rsidRDefault="004A1DB4" w:rsidP="004A1DB4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Стоимость материала для отсыпки 1 км</w:t>
            </w:r>
            <w:r w:rsidR="00376E26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дороги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4A1DB4" w:rsidRPr="00A9771A" w:rsidRDefault="00A75EEE" w:rsidP="00F33BE0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1 тыс. рублей * </w:t>
            </w:r>
            <w:r w:rsidR="007B604F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т = </w:t>
            </w:r>
            <w:r w:rsidR="00F33BE0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  <w:r w:rsidR="004A1DB4" w:rsidRPr="00A9771A">
              <w:rPr>
                <w:rFonts w:ascii="Times New Roman" w:eastAsia="Times New Roman" w:hAnsi="Times New Roman" w:cs="Times New Roman"/>
                <w:lang w:eastAsia="ru-RU"/>
              </w:rPr>
              <w:t> тыс. рублей</w:t>
            </w:r>
          </w:p>
        </w:tc>
        <w:tc>
          <w:tcPr>
            <w:tcW w:w="3285" w:type="dxa"/>
          </w:tcPr>
          <w:p w:rsidR="004A1DB4" w:rsidRPr="00A9771A" w:rsidRDefault="00A75EEE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1DB4" w:rsidRPr="00A9771A" w:rsidTr="004A1DB4">
        <w:tc>
          <w:tcPr>
            <w:tcW w:w="3284" w:type="dxa"/>
          </w:tcPr>
          <w:p w:rsidR="004A1DB4" w:rsidRPr="00A9771A" w:rsidRDefault="004A1DB4" w:rsidP="004A1DB4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Доставка</w:t>
            </w:r>
            <w:r w:rsidR="006355FF">
              <w:rPr>
                <w:rFonts w:ascii="Times New Roman" w:eastAsia="Times New Roman" w:hAnsi="Times New Roman" w:cs="Times New Roman"/>
                <w:lang w:eastAsia="ru-RU"/>
              </w:rPr>
              <w:t xml:space="preserve"> (30 км)</w:t>
            </w:r>
          </w:p>
        </w:tc>
        <w:tc>
          <w:tcPr>
            <w:tcW w:w="3285" w:type="dxa"/>
          </w:tcPr>
          <w:p w:rsidR="004A1DB4" w:rsidRPr="00A9771A" w:rsidRDefault="006355FF" w:rsidP="001B04F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B0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руб.* </w:t>
            </w:r>
            <w:r w:rsidR="00F33BE0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  <w:r w:rsidR="009168B6">
              <w:rPr>
                <w:rFonts w:ascii="Times New Roman" w:eastAsia="Times New Roman" w:hAnsi="Times New Roman" w:cs="Times New Roman"/>
                <w:lang w:eastAsia="ru-RU"/>
              </w:rPr>
              <w:t>т =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04F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3285" w:type="dxa"/>
          </w:tcPr>
          <w:p w:rsidR="004A1DB4" w:rsidRPr="00A9771A" w:rsidRDefault="0054411E" w:rsidP="001B04F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EEE" w:rsidRPr="00A9771A" w:rsidTr="004A1DB4">
        <w:tc>
          <w:tcPr>
            <w:tcW w:w="3284" w:type="dxa"/>
          </w:tcPr>
          <w:p w:rsidR="00A75EEE" w:rsidRPr="00A9771A" w:rsidRDefault="00A75EEE" w:rsidP="004A1DB4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Услуги грейдера</w:t>
            </w:r>
          </w:p>
        </w:tc>
        <w:tc>
          <w:tcPr>
            <w:tcW w:w="3285" w:type="dxa"/>
          </w:tcPr>
          <w:p w:rsidR="00A75EEE" w:rsidRPr="00A9771A" w:rsidRDefault="001B04F6" w:rsidP="00A75EE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3285" w:type="dxa"/>
          </w:tcPr>
          <w:p w:rsidR="00A75EEE" w:rsidRPr="00A9771A" w:rsidRDefault="001B04F6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>000 рублей</w:t>
            </w:r>
          </w:p>
        </w:tc>
      </w:tr>
      <w:tr w:rsidR="001B04F6" w:rsidRPr="00A9771A" w:rsidTr="004A1DB4">
        <w:tc>
          <w:tcPr>
            <w:tcW w:w="3284" w:type="dxa"/>
          </w:tcPr>
          <w:p w:rsidR="001B04F6" w:rsidRPr="00A9771A" w:rsidRDefault="001B04F6" w:rsidP="004A1DB4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дорожного катка</w:t>
            </w:r>
          </w:p>
        </w:tc>
        <w:tc>
          <w:tcPr>
            <w:tcW w:w="3285" w:type="dxa"/>
          </w:tcPr>
          <w:p w:rsidR="001B04F6" w:rsidRDefault="001B04F6" w:rsidP="00A75EEE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 рублей</w:t>
            </w:r>
          </w:p>
        </w:tc>
        <w:tc>
          <w:tcPr>
            <w:tcW w:w="3285" w:type="dxa"/>
          </w:tcPr>
          <w:p w:rsidR="001B04F6" w:rsidRDefault="001B04F6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 рублей</w:t>
            </w:r>
          </w:p>
        </w:tc>
      </w:tr>
      <w:tr w:rsidR="00A75EEE" w:rsidRPr="00A9771A" w:rsidTr="004A1DB4">
        <w:tc>
          <w:tcPr>
            <w:tcW w:w="3284" w:type="dxa"/>
          </w:tcPr>
          <w:p w:rsidR="00A75EEE" w:rsidRPr="00A9771A" w:rsidRDefault="00A75EEE" w:rsidP="004A1DB4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1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5" w:type="dxa"/>
          </w:tcPr>
          <w:p w:rsidR="00A75EEE" w:rsidRPr="00A9771A" w:rsidRDefault="007B604F" w:rsidP="007B604F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1476,2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</w:t>
            </w:r>
          </w:p>
        </w:tc>
        <w:tc>
          <w:tcPr>
            <w:tcW w:w="3285" w:type="dxa"/>
          </w:tcPr>
          <w:p w:rsidR="00A75EEE" w:rsidRPr="00A9771A" w:rsidRDefault="007B604F" w:rsidP="00AC5C3A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  <w:r w:rsidR="00A75EEE" w:rsidRPr="00A9771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</w:t>
            </w:r>
          </w:p>
        </w:tc>
      </w:tr>
    </w:tbl>
    <w:p w:rsidR="007A0CEE" w:rsidRPr="00A9771A" w:rsidRDefault="00434F33" w:rsidP="00A977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80D" w:rsidRDefault="00B95AC0" w:rsidP="0023080D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2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</w:t>
      </w:r>
      <w:r w:rsidR="00BD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3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 в качестве обязательного условия для участия </w:t>
      </w:r>
      <w:r w:rsidR="00BD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программах Ульяновской области в сфере строительства </w:t>
      </w:r>
      <w:r w:rsidR="0023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для строительных компаний – участников программы обязательной переработки строительных отходов. Чтобы предоставить временной лаг для подготовительных мероприятий, данную меру целесообразно реализовать после 202</w:t>
      </w:r>
      <w:r w:rsidR="00BD2D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94AC4" w:rsidRPr="00617AFE" w:rsidRDefault="00694AC4" w:rsidP="0023080D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на </w:t>
      </w: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региона компании, осуществляющей переработку отходов строительного производства в промышленных масштабах можно</w:t>
      </w:r>
      <w:proofErr w:type="gram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говорить о </w:t>
      </w:r>
      <w:r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введении запрета на размещение </w:t>
      </w:r>
      <w:r w:rsidR="00B335DD"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полигонах </w:t>
      </w:r>
      <w:r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отходов строительного производства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возможно переработать</w:t>
      </w:r>
      <w:r w:rsidR="00B335D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5F" w:rsidRPr="00617AFE" w:rsidRDefault="002F165F" w:rsidP="00AC5C3A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нематериального стимулирования со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335DD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органов власти может стать </w:t>
      </w:r>
      <w:r w:rsidR="00DA5655" w:rsidRPr="00A0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популяризация развития «зелёного» строительства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представителей бизнеса и населения о компаниях, применяющих экологически чистые материалы и «зелёные» технологии в процессе строительства объектов, о преимуществах таких объектов.</w:t>
      </w:r>
    </w:p>
    <w:p w:rsidR="00556459" w:rsidRDefault="00556459" w:rsidP="00BC573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7" w:rsidRPr="00617AFE" w:rsidRDefault="003B3470" w:rsidP="00AC5C3A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органического сельского хозяйства</w:t>
      </w:r>
    </w:p>
    <w:p w:rsidR="003B3470" w:rsidRPr="00617AFE" w:rsidRDefault="003B3470" w:rsidP="00CB50D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A43" w:rsidRPr="00617AFE" w:rsidRDefault="00130A43" w:rsidP="0013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>В идеале органическое сельское хозяйство – это замкнутый цикл, в котором животноводство и растениеводство дополняют друг друга, не оставляя отходов и не нанося урон окружающей среде; это такая форма хозяйствования, использование</w:t>
      </w:r>
      <w:r w:rsidR="0080097C" w:rsidRPr="00617AFE">
        <w:rPr>
          <w:rFonts w:ascii="Times New Roman" w:hAnsi="Times New Roman" w:cs="Times New Roman"/>
          <w:sz w:val="28"/>
          <w:szCs w:val="28"/>
        </w:rPr>
        <w:t xml:space="preserve"> минеральных </w:t>
      </w:r>
      <w:r w:rsidRPr="00617AFE">
        <w:rPr>
          <w:rFonts w:ascii="Times New Roman" w:hAnsi="Times New Roman" w:cs="Times New Roman"/>
          <w:sz w:val="28"/>
          <w:szCs w:val="28"/>
        </w:rPr>
        <w:t xml:space="preserve">удобрений и кормовых добавок в котором сводится к минимуму, в производстве исключаются генно-модифицированные организмы. </w:t>
      </w:r>
      <w:bookmarkStart w:id="2" w:name="_Hlk506974284"/>
    </w:p>
    <w:p w:rsidR="00475E95" w:rsidRPr="00617AFE" w:rsidRDefault="00664FE0" w:rsidP="0059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t>В России с</w:t>
      </w:r>
      <w:r w:rsidR="00475E95" w:rsidRPr="00617AFE">
        <w:rPr>
          <w:rFonts w:ascii="Times New Roman" w:hAnsi="Times New Roman" w:cs="Times New Roman"/>
          <w:sz w:val="28"/>
          <w:szCs w:val="28"/>
        </w:rPr>
        <w:t xml:space="preserve">ектор органического сельского хозяйства только начинает </w:t>
      </w:r>
      <w:r w:rsidRPr="00617AFE">
        <w:rPr>
          <w:rFonts w:ascii="Times New Roman" w:hAnsi="Times New Roman" w:cs="Times New Roman"/>
          <w:sz w:val="28"/>
          <w:szCs w:val="28"/>
        </w:rPr>
        <w:t>развиваться</w:t>
      </w:r>
      <w:r w:rsidR="00475E95" w:rsidRPr="00617AFE">
        <w:rPr>
          <w:rFonts w:ascii="Times New Roman" w:hAnsi="Times New Roman" w:cs="Times New Roman"/>
          <w:sz w:val="28"/>
          <w:szCs w:val="28"/>
        </w:rPr>
        <w:t>. Число производителей органических продуктов в стране составляет по разным оценка</w:t>
      </w:r>
      <w:r w:rsidRPr="00617AFE">
        <w:rPr>
          <w:rFonts w:ascii="Times New Roman" w:hAnsi="Times New Roman" w:cs="Times New Roman"/>
          <w:sz w:val="28"/>
          <w:szCs w:val="28"/>
        </w:rPr>
        <w:t>м</w:t>
      </w:r>
      <w:r w:rsidR="00475E95" w:rsidRPr="00617AFE">
        <w:rPr>
          <w:rFonts w:ascii="Times New Roman" w:hAnsi="Times New Roman" w:cs="Times New Roman"/>
          <w:sz w:val="28"/>
          <w:szCs w:val="28"/>
        </w:rPr>
        <w:t xml:space="preserve"> от 70 до 90</w:t>
      </w:r>
      <w:r w:rsidR="00590023" w:rsidRPr="00617AFE">
        <w:rPr>
          <w:rFonts w:ascii="Times New Roman" w:hAnsi="Times New Roman" w:cs="Times New Roman"/>
          <w:sz w:val="28"/>
          <w:szCs w:val="28"/>
        </w:rPr>
        <w:t xml:space="preserve">. Лишь 5 % российских производителей органической продукции экспортирует свои товары. </w:t>
      </w:r>
    </w:p>
    <w:p w:rsidR="00AE708A" w:rsidRPr="00617AFE" w:rsidRDefault="00AE708A" w:rsidP="0047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FE">
        <w:rPr>
          <w:rFonts w:ascii="Times New Roman" w:hAnsi="Times New Roman" w:cs="Times New Roman"/>
          <w:sz w:val="28"/>
          <w:szCs w:val="28"/>
        </w:rPr>
        <w:lastRenderedPageBreak/>
        <w:t>Барьеры развития органического сельского хоз</w:t>
      </w:r>
      <w:r w:rsidR="00590023" w:rsidRPr="00617AFE">
        <w:rPr>
          <w:rFonts w:ascii="Times New Roman" w:hAnsi="Times New Roman" w:cs="Times New Roman"/>
          <w:sz w:val="28"/>
          <w:szCs w:val="28"/>
        </w:rPr>
        <w:t>я</w:t>
      </w:r>
      <w:r w:rsidRPr="00617AFE">
        <w:rPr>
          <w:rFonts w:ascii="Times New Roman" w:hAnsi="Times New Roman" w:cs="Times New Roman"/>
          <w:sz w:val="28"/>
          <w:szCs w:val="28"/>
        </w:rPr>
        <w:t>йства</w:t>
      </w:r>
      <w:r w:rsidR="00664FE0" w:rsidRPr="00617AFE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617AFE">
        <w:rPr>
          <w:rFonts w:ascii="Times New Roman" w:hAnsi="Times New Roman" w:cs="Times New Roman"/>
          <w:sz w:val="28"/>
          <w:szCs w:val="28"/>
        </w:rPr>
        <w:t>:</w:t>
      </w:r>
    </w:p>
    <w:p w:rsidR="00AE708A" w:rsidRPr="00617AFE" w:rsidRDefault="007046B0" w:rsidP="00B95AC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низкая урожайность по сравнению с традиционным </w:t>
      </w:r>
      <w:r w:rsidR="009F5F26" w:rsidRPr="00617AFE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F26" w:rsidRPr="00617AFE">
        <w:rPr>
          <w:rFonts w:ascii="Times New Roman" w:hAnsi="Times New Roman" w:cs="Times New Roman"/>
          <w:sz w:val="28"/>
          <w:szCs w:val="28"/>
        </w:rPr>
        <w:t>м хозяйств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AE708A" w:rsidRPr="00617AFE" w:rsidRDefault="007046B0" w:rsidP="00B95AC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AFE">
        <w:rPr>
          <w:rFonts w:ascii="Times New Roman" w:hAnsi="Times New Roman" w:cs="Times New Roman"/>
          <w:sz w:val="28"/>
          <w:szCs w:val="28"/>
        </w:rPr>
        <w:t>длительный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30A43" w:rsidRPr="00617AFE">
        <w:rPr>
          <w:rFonts w:ascii="Times New Roman" w:hAnsi="Times New Roman" w:cs="Times New Roman"/>
          <w:sz w:val="28"/>
          <w:szCs w:val="28"/>
        </w:rPr>
        <w:t>роцесс п</w:t>
      </w:r>
      <w:r w:rsidR="00E524AC" w:rsidRPr="00617AFE">
        <w:rPr>
          <w:rFonts w:ascii="Times New Roman" w:hAnsi="Times New Roman" w:cs="Times New Roman"/>
          <w:sz w:val="28"/>
          <w:szCs w:val="28"/>
        </w:rPr>
        <w:t xml:space="preserve">ерехода </w:t>
      </w:r>
      <w:r w:rsidR="00AE708A" w:rsidRPr="00617AFE">
        <w:rPr>
          <w:rFonts w:ascii="Times New Roman" w:hAnsi="Times New Roman" w:cs="Times New Roman"/>
          <w:sz w:val="28"/>
          <w:szCs w:val="28"/>
        </w:rPr>
        <w:t>от традиционного к органическому сельскому хозяйству</w:t>
      </w:r>
      <w:r w:rsidR="00E524AC" w:rsidRPr="00617AFE">
        <w:rPr>
          <w:rFonts w:ascii="Times New Roman" w:hAnsi="Times New Roman" w:cs="Times New Roman"/>
          <w:sz w:val="28"/>
          <w:szCs w:val="28"/>
        </w:rPr>
        <w:t xml:space="preserve"> (</w:t>
      </w:r>
      <w:r w:rsidR="00664FE0" w:rsidRPr="00617AF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524AC" w:rsidRPr="00617AFE">
        <w:rPr>
          <w:rFonts w:ascii="Times New Roman" w:hAnsi="Times New Roman" w:cs="Times New Roman"/>
          <w:sz w:val="28"/>
          <w:szCs w:val="28"/>
        </w:rPr>
        <w:t xml:space="preserve">3 </w:t>
      </w:r>
      <w:r w:rsidR="00664FE0" w:rsidRPr="00617AF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046B0" w:rsidRDefault="007046B0" w:rsidP="00B95AC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0">
        <w:rPr>
          <w:rFonts w:ascii="Times New Roman" w:hAnsi="Times New Roman" w:cs="Times New Roman"/>
          <w:sz w:val="28"/>
          <w:szCs w:val="28"/>
        </w:rPr>
        <w:t>н</w:t>
      </w:r>
      <w:r w:rsidR="00B7067D" w:rsidRPr="007046B0">
        <w:rPr>
          <w:rFonts w:ascii="Times New Roman" w:hAnsi="Times New Roman" w:cs="Times New Roman"/>
          <w:sz w:val="28"/>
          <w:szCs w:val="28"/>
        </w:rPr>
        <w:t>изкий уровен</w:t>
      </w:r>
      <w:r>
        <w:rPr>
          <w:rFonts w:ascii="Times New Roman" w:hAnsi="Times New Roman" w:cs="Times New Roman"/>
          <w:sz w:val="28"/>
          <w:szCs w:val="28"/>
        </w:rPr>
        <w:t>ь общественной осведомлённости;</w:t>
      </w:r>
    </w:p>
    <w:p w:rsidR="00B7067D" w:rsidRPr="007046B0" w:rsidRDefault="007046B0" w:rsidP="00B95AC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67D" w:rsidRPr="007046B0">
        <w:rPr>
          <w:rFonts w:ascii="Times New Roman" w:hAnsi="Times New Roman" w:cs="Times New Roman"/>
          <w:sz w:val="28"/>
          <w:szCs w:val="28"/>
        </w:rPr>
        <w:t>евысокий спрос на продукцию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067D" w:rsidRPr="007046B0">
        <w:rPr>
          <w:rFonts w:ascii="Times New Roman" w:hAnsi="Times New Roman" w:cs="Times New Roman"/>
          <w:sz w:val="28"/>
          <w:szCs w:val="28"/>
        </w:rPr>
        <w:t>менее 1% населения регулярно по</w:t>
      </w:r>
      <w:r>
        <w:rPr>
          <w:rFonts w:ascii="Times New Roman" w:hAnsi="Times New Roman" w:cs="Times New Roman"/>
          <w:sz w:val="28"/>
          <w:szCs w:val="28"/>
        </w:rPr>
        <w:t>требляет органическую продукцию);</w:t>
      </w:r>
    </w:p>
    <w:p w:rsidR="006B0331" w:rsidRPr="00617AFE" w:rsidRDefault="007046B0" w:rsidP="00B95AC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стоимость органической продукции (</w:t>
      </w:r>
      <w:r w:rsidRPr="00617AFE">
        <w:rPr>
          <w:rFonts w:ascii="Times New Roman" w:hAnsi="Times New Roman" w:cs="Times New Roman"/>
          <w:sz w:val="28"/>
          <w:szCs w:val="28"/>
        </w:rPr>
        <w:t>в 2-5 раз выше, чем стоимость «стандартных» продуктов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5D4493">
        <w:rPr>
          <w:rFonts w:ascii="Times New Roman" w:hAnsi="Times New Roman" w:cs="Times New Roman"/>
          <w:sz w:val="28"/>
          <w:szCs w:val="28"/>
        </w:rPr>
        <w:t>;</w:t>
      </w:r>
    </w:p>
    <w:p w:rsidR="005C634C" w:rsidRPr="00617AFE" w:rsidRDefault="005D4493" w:rsidP="00B95AC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34C" w:rsidRPr="00617AFE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C634C" w:rsidRPr="00617AFE">
        <w:rPr>
          <w:rFonts w:ascii="Times New Roman" w:hAnsi="Times New Roman" w:cs="Times New Roman"/>
          <w:sz w:val="28"/>
          <w:szCs w:val="28"/>
        </w:rPr>
        <w:t xml:space="preserve"> квалифицированны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634C" w:rsidRPr="00617A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C634C" w:rsidRPr="00617AFE">
        <w:rPr>
          <w:rFonts w:ascii="Times New Roman" w:hAnsi="Times New Roman" w:cs="Times New Roman"/>
          <w:sz w:val="28"/>
          <w:szCs w:val="28"/>
        </w:rPr>
        <w:t xml:space="preserve"> в области органического сельского хозяйства.</w:t>
      </w:r>
    </w:p>
    <w:p w:rsidR="007835D7" w:rsidRPr="00617AFE" w:rsidRDefault="00E271D0" w:rsidP="00E271D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органические продукты в основном сконцентрирован в США и странах ЕС. </w:t>
      </w:r>
      <w:r w:rsidR="00B9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FD1F2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сконцентрировать усилия на 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</w:t>
      </w:r>
      <w:r w:rsidR="00FD1F21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продукции на внешние рынки –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 органической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DA565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DB4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5D7" w:rsidRPr="00617AFE" w:rsidRDefault="00D55DB4" w:rsidP="00DA521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шаг - </w:t>
      </w:r>
      <w:r w:rsidRPr="00B2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возмещение затрат на проведение сертификации продукции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рынка сбыта: если производитель ориентирован на внутренний рынок, то необходима сертификация по российским стандартам, если на внешний, - органик-сертификат ЕС/США/Бразилия/Япония/Китай.</w:t>
      </w:r>
      <w:proofErr w:type="gram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0C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затрат на сертификацию зависит от выбранной системы сертификации и объёмов производства и составляет </w:t>
      </w:r>
      <w:r w:rsidR="009D79A3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1750CF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150 – 300 тыс. рублей.</w:t>
      </w:r>
    </w:p>
    <w:p w:rsidR="00DA5655" w:rsidRPr="00617AFE" w:rsidRDefault="007835D7" w:rsidP="00DA521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шаг – создание </w:t>
      </w:r>
      <w:r w:rsidRPr="00B2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информационной поддержки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 органической продукции, ориентированных на экспорт (консультации  по  организации  экспорта,  торговых миссий).</w:t>
      </w:r>
    </w:p>
    <w:p w:rsidR="007835D7" w:rsidRPr="00E271D0" w:rsidRDefault="007835D7" w:rsidP="007835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шаг – </w:t>
      </w:r>
      <w:r w:rsidRPr="00B2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системы продвижения предприятий-экспортёров органической продукции за рубежом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(помощь с поиском </w:t>
      </w: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бизнес-партнеров</w:t>
      </w:r>
      <w:proofErr w:type="gram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зарубежных  рынках, организация участия производителей  в  выставках).</w:t>
      </w:r>
    </w:p>
    <w:p w:rsidR="006A1DF1" w:rsidRDefault="006A1DF1" w:rsidP="00E524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67" w:rsidRPr="00545522" w:rsidRDefault="00DD0067" w:rsidP="00AC5C3A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экологической культуры населения</w:t>
      </w:r>
    </w:p>
    <w:p w:rsidR="00DD0067" w:rsidRPr="00CB50D7" w:rsidRDefault="00DD0067" w:rsidP="00CB50D7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A46" w:rsidRDefault="00E40D08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вопрос формирования экологической культуры населения. Преобразования, направленные на </w:t>
      </w:r>
      <w:proofErr w:type="spellStart"/>
      <w:r w:rsidRPr="00E40D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экологизацию</w:t>
      </w:r>
      <w:proofErr w:type="spellEnd"/>
      <w:r w:rsidRPr="00E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региона, невозможны без вовлечения в данный процесс населения, представителей бизнеса. </w:t>
      </w:r>
    </w:p>
    <w:p w:rsidR="008E6B13" w:rsidRPr="00CB50D7" w:rsidRDefault="00A30453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E6B13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широкой </w:t>
      </w:r>
      <w:r w:rsidR="008E6B13" w:rsidRPr="00C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информационно-просветительской работы</w:t>
      </w:r>
      <w:r w:rsidR="008E6B13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по формированию ответственного, экономного отношения к использованию природных ресурсов</w:t>
      </w:r>
      <w:r w:rsidR="00824B27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решению экологических проблем</w:t>
      </w:r>
      <w:r w:rsidR="008E6B13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B13" w:rsidRPr="0014398C" w:rsidRDefault="008E6B13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воспитания закладываются в детстве, основным источником знаний является школа. Основы экологических знаний включены в федеральные государственные стандарты основного общего образования: на 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 начальной школы – в рамках предметной соблюсти «Окружающий мир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основной школе - «Естественнонаучные предметы» (биология, физика, химия), в старших профильных классах (10, 11 классы) – «Экология». </w:t>
      </w: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доля общеобразовательных организаций, в которых осуществляется внеурочная деятельность экологической направленности, составляет</w:t>
      </w:r>
      <w:r w:rsidR="005E11BE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61%, доля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вовлечённых во внеурочную деятельность экологической направленности – только 19 %, доля дошкольных образовательных организаций, на базе которых реализуются проекты по формированию экологической культуры составляет 28%.</w:t>
      </w:r>
      <w:r w:rsidR="0060567C" w:rsidRPr="0060567C">
        <w:t xml:space="preserve"> </w:t>
      </w:r>
      <w:r w:rsidR="0060567C" w:rsidRPr="0060567C">
        <w:rPr>
          <w:rFonts w:ascii="Times New Roman" w:hAnsi="Times New Roman" w:cs="Times New Roman"/>
          <w:sz w:val="28"/>
          <w:szCs w:val="28"/>
        </w:rPr>
        <w:t xml:space="preserve">Для </w:t>
      </w:r>
      <w:r w:rsidR="0060567C" w:rsidRPr="006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экологического и ресурсосберегающего стиля мышления </w:t>
      </w:r>
      <w:r w:rsidR="0060567C" w:rsidRPr="0014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 ввести изучение предмета «Экология» в общеобразовательных организациях Ульяновской области, начиная с 5</w:t>
      </w:r>
      <w:proofErr w:type="gramEnd"/>
      <w:r w:rsidR="0060567C" w:rsidRPr="0014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класса.</w:t>
      </w:r>
    </w:p>
    <w:p w:rsidR="004B2D37" w:rsidRPr="00617AFE" w:rsidRDefault="00824B27" w:rsidP="004B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вовлекать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экологическое 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коммуникационное 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пространство </w:t>
      </w:r>
      <w:r w:rsidR="006F42BB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группы населения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проведения 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семинаров, </w:t>
      </w:r>
      <w:r w:rsidR="00F14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экологических и благотворительных акций, выставок, «круглых» столов, 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создания 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канал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ви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охостинге, групп в социальных сетях, регулярны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6F42BB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 на радио и телевидении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доводить до населения информацию о производителях «зелёных» товаров, о пользе «зелёной», органической продукции для здоровья человека, о новых технологиях производства, об инновациях в сфере сельского хозяйства, транспорта, 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новых, утилизируемых материалов, о способах 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цикла продукции, об эффективности использования возобновляемых (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источников энергии как для нормализации экологической обстановки в целом, так и с точки зрения экономической выгоды</w:t>
      </w:r>
      <w:proofErr w:type="gramEnd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региона и бюджета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взятых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хозяйств. </w:t>
      </w:r>
      <w:proofErr w:type="gramStart"/>
      <w:r w:rsidR="004B2D3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составить публичный реестр производителей «зелёных» товаров на территории Ульяновской области и список «зелёных» товаров (продуктов, косметики, текстиля, упаковки, строительных материалов, техники, автомобилей и др.), создать условия для доступа широкого круга лиц к данной информации.</w:t>
      </w:r>
      <w:proofErr w:type="gramEnd"/>
      <w:r w:rsidR="004B2D3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3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специализированного </w:t>
      </w:r>
      <w:proofErr w:type="spellStart"/>
      <w:r w:rsidR="004B2D3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интернет-ресурса</w:t>
      </w:r>
      <w:proofErr w:type="spellEnd"/>
      <w:r w:rsidR="004B2D3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распространять знания о «зелёных» товарах, позволит стимулировать не только государственные и муниципальные, но и частные закупки экологических товаров.</w:t>
      </w:r>
    </w:p>
    <w:p w:rsidR="008E6B13" w:rsidRDefault="00824B27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меры должны 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изменению модели поведения населения в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тношении использования 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(водных, энергетических, земельных) и утилизации отходов.</w:t>
      </w:r>
      <w:r w:rsidR="00DD006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3E" w:rsidRDefault="00F14A46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«зелёной» экономики – развитие экологического туризма – также будет способствовать </w:t>
      </w:r>
      <w:r w:rsidR="003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привитию ответственного отношения к природе, </w:t>
      </w:r>
      <w:r w:rsidR="00EC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вовлечению большего количества населения в природоохранную деятельность. </w:t>
      </w:r>
      <w:r w:rsidR="0038353E" w:rsidRPr="003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окружающей среды становится экономически выгодно, при этом не требуется крупных капиталовложений</w:t>
      </w:r>
      <w:r w:rsidR="003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F7C" w:rsidRPr="009D79A3" w:rsidRDefault="00CE7F7C" w:rsidP="00CB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распространения «зелёного» тренда, </w:t>
      </w:r>
      <w:r w:rsidR="001C57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лучших практик,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общ</w:t>
      </w:r>
      <w:r w:rsidR="001C57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  <w:r w:rsidR="001C57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эколого-ориентированных компаний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узнаваемости инновационных, эколого-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ориентированных предприятий, поощрения инициатив по переходу к «зелёной» экономике</w:t>
      </w:r>
      <w:r w:rsidR="001C57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E7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большего числа организаций в данный процесс </w:t>
      </w:r>
      <w:r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учредить </w:t>
      </w:r>
      <w:r w:rsidR="001C57E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региональную 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экологическую премию в номинациях «зелёное» производство</w:t>
      </w:r>
      <w:r w:rsidR="00F30D99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«зелёные» инноваци</w:t>
      </w:r>
      <w:r w:rsidR="001C57E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30D99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«зелёная» продукция</w:t>
      </w:r>
      <w:r w:rsidR="00F30D99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30D99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«экологическая общественная инициатива»</w:t>
      </w:r>
      <w:r w:rsidR="001C57E7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</w:t>
      </w:r>
      <w:r w:rsidR="001C57E7" w:rsidRPr="009D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F30D99" w:rsidRDefault="00F30D99" w:rsidP="00F3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A5" w:rsidRPr="00545522" w:rsidRDefault="003B3470" w:rsidP="00CB5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834A5" w:rsidRPr="0054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Ресурсное обеспечение </w:t>
      </w:r>
      <w:r w:rsidR="00841475" w:rsidRPr="0054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E834A5" w:rsidRPr="0054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C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75D7" w:rsidRDefault="00D275D7" w:rsidP="00D2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465E" w:rsidRDefault="00E834A5" w:rsidP="00D2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финансового обеспечения реализации </w:t>
      </w:r>
      <w:r w:rsidR="00841475" w:rsidRP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являются бюджетные ассигнования областно</w:t>
      </w:r>
      <w:r w:rsidR="000434A6" w:rsidRP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Ульяновской области</w:t>
      </w:r>
      <w:r w:rsidR="00E0465E" w:rsidRP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65E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465E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</w:t>
      </w:r>
      <w:r w:rsid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65E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государственной власти Ульяновской области в рамках выполнения государственных программ, и привлечённые внебюджетные источники</w:t>
      </w:r>
      <w:r w:rsid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29E" w:rsidRDefault="0040629E" w:rsidP="00D2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33" w:rsidRPr="00565690" w:rsidRDefault="00565690" w:rsidP="0056569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317B33" w:rsidRPr="0056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317B33" w:rsidRPr="00317B33" w:rsidRDefault="00317B33" w:rsidP="0031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33" w:rsidRPr="00317B33" w:rsidRDefault="00317B33" w:rsidP="0031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предполагается в 2019 - 2030 годах в два этапа:</w:t>
      </w:r>
    </w:p>
    <w:p w:rsidR="00317B33" w:rsidRPr="00317B33" w:rsidRDefault="00317B33" w:rsidP="0031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 годы – создание условий (стимулов) для</w:t>
      </w:r>
      <w:r w:rsidR="00654303" w:rsidRPr="00654303">
        <w:t xml:space="preserve"> </w:t>
      </w:r>
      <w:r w:rsidR="00654303" w:rsidRPr="00654303">
        <w:rPr>
          <w:rFonts w:ascii="Times New Roman" w:hAnsi="Times New Roman" w:cs="Times New Roman"/>
          <w:sz w:val="28"/>
          <w:szCs w:val="28"/>
        </w:rPr>
        <w:t>развития</w:t>
      </w:r>
      <w:r w:rsidR="00654303">
        <w:t xml:space="preserve"> 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переработки отходов и повторного производства</w:t>
      </w:r>
      <w:r w:rsidR="00D17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303" w:rsidRPr="00654303">
        <w:t xml:space="preserve"> 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распределённой энергетики на основе возобновляемых источников энергии</w:t>
      </w:r>
      <w:r w:rsid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транспорта на КПГ</w:t>
      </w:r>
      <w:r w:rsidR="0023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экологической культуры населения</w:t>
      </w:r>
      <w:r w:rsid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B33" w:rsidRPr="00317B33" w:rsidRDefault="00317B33" w:rsidP="00317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2030 годы –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«зелёного» строительства, электротранспорта, органического сельского хозяйства</w:t>
      </w:r>
      <w:r w:rsidRPr="00317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4A6" w:rsidRDefault="000434A6" w:rsidP="00D2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A5" w:rsidRPr="000434A6" w:rsidRDefault="00E834A5" w:rsidP="0056569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эффект от реализации </w:t>
      </w:r>
      <w:r w:rsidR="00841475" w:rsidRPr="0004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04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275D7" w:rsidRPr="00D275D7" w:rsidRDefault="00D275D7" w:rsidP="00D275D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6F" w:rsidRPr="00060426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Индикаторов, позволяющих оценить результаты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зелёной»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региона</w:t>
      </w:r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ни в российской, ни зарубежной практике. Так как в рамках концепции «зелёной» экономики выделяют три блока: экономический, социальный и экологический, целесообразно систематизировать показатели по трём блокам. </w:t>
      </w:r>
      <w:proofErr w:type="spellStart"/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Экологизацию</w:t>
      </w:r>
      <w:proofErr w:type="spellEnd"/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экономики предлагается оценивать на основе мониторинга динамики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индикативных показателей</w:t>
      </w:r>
      <w:r w:rsidRPr="000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6F" w:rsidRDefault="00C82D6F" w:rsidP="00C82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82D6F" w:rsidRDefault="00C82D6F" w:rsidP="00C82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6F" w:rsidRPr="002E2AEC" w:rsidRDefault="00C82D6F" w:rsidP="00C8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Индикативные показатели перехода к «зелёной» экономике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2376"/>
        <w:gridCol w:w="7478"/>
      </w:tblGrid>
      <w:tr w:rsidR="00C82D6F" w:rsidRPr="00C20E42" w:rsidTr="003E22BB">
        <w:tc>
          <w:tcPr>
            <w:tcW w:w="2376" w:type="dxa"/>
          </w:tcPr>
          <w:p w:rsidR="00C82D6F" w:rsidRPr="00C20E42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показателей</w:t>
            </w: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</w:tr>
      <w:tr w:rsidR="00C82D6F" w:rsidRPr="00C20E42" w:rsidTr="003E22BB">
        <w:tc>
          <w:tcPr>
            <w:tcW w:w="2376" w:type="dxa"/>
            <w:vMerge w:val="restart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ВРП на душу населения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инвестиций в основной капитал, направленных на охрану окружающей среды и рациональное использование природных ресурсов, в общем объёме инвестиций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инвестиционных проектов в сфере утилизации отходов </w:t>
            </w: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потребления</w:t>
            </w:r>
          </w:p>
        </w:tc>
      </w:tr>
      <w:tr w:rsidR="00C82D6F" w:rsidRPr="00C20E42" w:rsidTr="003E22BB">
        <w:tc>
          <w:tcPr>
            <w:tcW w:w="2376" w:type="dxa"/>
            <w:vMerge w:val="restart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Экологический</w:t>
            </w: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организаций, внедряющих модель замкнутого цикла, </w:t>
            </w:r>
            <w:proofErr w:type="spellStart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энергосберегающие технологии на производстве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организаций, осуществлявших экологические инновации в отчетном году, в общем числе обследованных организаций 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Природоёмкость</w:t>
            </w:r>
            <w:proofErr w:type="spellEnd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ВРП по выбросам загрязняющих веществ в атмосферный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от стационарных источников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Природоёмкость</w:t>
            </w:r>
            <w:proofErr w:type="spellEnd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ВРП по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росам загрязнённых сточных вод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Природоёмкость</w:t>
            </w:r>
            <w:proofErr w:type="spellEnd"/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ВРП по образованию отходов производства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</w:t>
            </w: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  <w:r w:rsidRPr="0015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отходов в общем объеме образовавшихся отходов в процессе производства и потребления 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Энергоёмкость ВРП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возобновляемых источников энергии в выработке электроэнергии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выбросов от автотранспорта в общем объёме загрязняющих веществ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экологически чистого транспорта (имеющего возможность использовать компримированный природный газ и электроэнергию в качестве моторного топлива)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заправочных (зарядных) станций для экологически чистого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(КПГ, электричество)</w:t>
            </w:r>
          </w:p>
        </w:tc>
      </w:tr>
      <w:tr w:rsidR="00C82D6F" w:rsidRPr="00C20E42" w:rsidTr="003E22BB">
        <w:tc>
          <w:tcPr>
            <w:tcW w:w="2376" w:type="dxa"/>
            <w:vMerge w:val="restart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в рамках реализации инвестиционных проектов в сфере утилизации отходов производства и потребления, внедрения модели замкнутого цикла,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энергосберегающих технологий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</w:p>
        </w:tc>
      </w:tr>
      <w:tr w:rsidR="00272AEE" w:rsidRPr="00C20E42" w:rsidTr="003E22BB">
        <w:tc>
          <w:tcPr>
            <w:tcW w:w="2376" w:type="dxa"/>
            <w:vMerge/>
          </w:tcPr>
          <w:p w:rsidR="00272AEE" w:rsidRPr="00C20E42" w:rsidRDefault="00272AEE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72AEE" w:rsidRPr="00C20E42" w:rsidRDefault="009665A0" w:rsidP="009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доходы населения</w:t>
            </w:r>
          </w:p>
        </w:tc>
      </w:tr>
      <w:tr w:rsidR="00C82D6F" w:rsidRPr="00C20E42" w:rsidTr="003E22BB">
        <w:tc>
          <w:tcPr>
            <w:tcW w:w="2376" w:type="dxa"/>
            <w:vMerge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C82D6F" w:rsidRPr="00C20E42" w:rsidRDefault="00C82D6F" w:rsidP="003E2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</w:tr>
    </w:tbl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6F" w:rsidRPr="00F7737A" w:rsidRDefault="00C82D6F" w:rsidP="00C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таблице 1 индикативные показатели характеризуют результативность деятельности исполнительных органов власти в направлении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экономики. Исходные данные для расчёта показателей являются официальные данные Федеральной службы </w:t>
      </w:r>
      <w:r w:rsidRPr="00F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статистики, ежегодные региональные доклады о состоянии и охране окружающей среды, ведомственная статистика.</w:t>
      </w:r>
      <w:r w:rsidRPr="00F7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37A">
        <w:rPr>
          <w:rFonts w:ascii="Times New Roman" w:hAnsi="Times New Roman" w:cs="Times New Roman"/>
          <w:sz w:val="28"/>
          <w:szCs w:val="28"/>
        </w:rPr>
        <w:t>Значения таких значимых для «зелёной» экономики показателей, как «к</w:t>
      </w:r>
      <w:r w:rsidRPr="00F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инвестиционных проектов в сфере утилизации отходов производства и потребления», «количество</w:t>
      </w:r>
      <w:r w:rsidRPr="00FB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внедряющих модель замкнутого цикла, </w:t>
      </w:r>
      <w:proofErr w:type="spellStart"/>
      <w:r w:rsidRPr="00FB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FB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энергосберегающие технологии на производстве»,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F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возобновляемых источников энергии в выработке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</w:t>
      </w:r>
      <w:r w:rsidRPr="00F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экологически чистого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</w:t>
      </w:r>
      <w:r w:rsidRPr="00F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заправочных (зарядных) станций для экологически чистого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данный момент отсутствуют в открытых источниках и ведомственной статистике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должны учитываться в расчёте в перспективе.</w:t>
      </w:r>
    </w:p>
    <w:p w:rsidR="00C41266" w:rsidRDefault="00C41266" w:rsidP="00C82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66" w:rsidRDefault="00C41266" w:rsidP="00C82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6F" w:rsidRDefault="00C82D6F" w:rsidP="00C82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C82D6F" w:rsidRDefault="00C82D6F" w:rsidP="00C82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6F" w:rsidRDefault="00C82D6F" w:rsidP="00C8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индикативных показателей перехода к «зелёной» экономике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Ульяновской области </w:t>
      </w:r>
      <w:r w:rsidRPr="00A5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2007-2017 годах</w:t>
      </w:r>
    </w:p>
    <w:p w:rsidR="00C82D6F" w:rsidRDefault="00C82D6F" w:rsidP="00C8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815" w:type="dxa"/>
        <w:tblLook w:val="04A0" w:firstRow="1" w:lastRow="0" w:firstColumn="1" w:lastColumn="0" w:noHBand="0" w:noVBand="1"/>
      </w:tblPr>
      <w:tblGrid>
        <w:gridCol w:w="2453"/>
        <w:gridCol w:w="933"/>
        <w:gridCol w:w="932"/>
        <w:gridCol w:w="932"/>
        <w:gridCol w:w="932"/>
        <w:gridCol w:w="932"/>
        <w:gridCol w:w="926"/>
        <w:gridCol w:w="954"/>
        <w:gridCol w:w="821"/>
      </w:tblGrid>
      <w:tr w:rsidR="00C82D6F" w:rsidRPr="00596DD6" w:rsidTr="003E22BB">
        <w:tc>
          <w:tcPr>
            <w:tcW w:w="2471" w:type="dxa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индикативного показателя</w:t>
            </w:r>
          </w:p>
        </w:tc>
        <w:tc>
          <w:tcPr>
            <w:tcW w:w="939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2010</w:t>
            </w:r>
          </w:p>
        </w:tc>
        <w:tc>
          <w:tcPr>
            <w:tcW w:w="937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2011</w:t>
            </w:r>
          </w:p>
        </w:tc>
        <w:tc>
          <w:tcPr>
            <w:tcW w:w="937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  <w:tc>
          <w:tcPr>
            <w:tcW w:w="937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937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931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0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766" w:type="dxa"/>
            <w:vAlign w:val="center"/>
          </w:tcPr>
          <w:p w:rsidR="00C82D6F" w:rsidRPr="004D4C2D" w:rsidRDefault="00C82D6F" w:rsidP="003E22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C2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C82D6F" w:rsidRPr="00596DD6" w:rsidTr="003E22BB">
        <w:tc>
          <w:tcPr>
            <w:tcW w:w="9815" w:type="dxa"/>
            <w:gridSpan w:val="9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Экономический блок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ВРП на душу населения, тыс. руб./чел.</w:t>
            </w:r>
          </w:p>
        </w:tc>
        <w:tc>
          <w:tcPr>
            <w:tcW w:w="939" w:type="dxa"/>
            <w:vAlign w:val="center"/>
          </w:tcPr>
          <w:p w:rsidR="00C82D6F" w:rsidRPr="00596DD6" w:rsidRDefault="00C82D6F" w:rsidP="003E22BB">
            <w:pPr>
              <w:spacing w:before="80" w:after="80" w:line="320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spacing w:before="80" w:after="80" w:line="320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 w:rsidRPr="00596DD6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spacing w:before="80" w:after="80" w:line="320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 w:rsidRPr="00596DD6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spacing w:before="80" w:after="80" w:line="320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 w:rsidRPr="00596DD6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spacing w:before="80" w:after="80" w:line="320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 w:rsidRPr="00596DD6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31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41</w:t>
            </w:r>
            <w:r w:rsidRPr="00596D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766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B31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душу населения</w:t>
            </w: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/чел.</w:t>
            </w:r>
          </w:p>
        </w:tc>
        <w:tc>
          <w:tcPr>
            <w:tcW w:w="939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31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960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66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Доля инвестиций в основной капитал, направленны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на охрану окружающей среды и рациональное использование природных ресурсов, в общем объёме инвестиций, %</w:t>
            </w:r>
          </w:p>
        </w:tc>
        <w:tc>
          <w:tcPr>
            <w:tcW w:w="939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37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37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37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37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31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60" w:type="dxa"/>
            <w:vAlign w:val="center"/>
          </w:tcPr>
          <w:p w:rsidR="00C82D6F" w:rsidRPr="000C745F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C745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66" w:type="dxa"/>
            <w:vAlign w:val="center"/>
          </w:tcPr>
          <w:p w:rsidR="00C82D6F" w:rsidRPr="000C745F" w:rsidRDefault="00B16D26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2D6F" w:rsidRPr="00596DD6" w:rsidTr="003E22BB">
        <w:tc>
          <w:tcPr>
            <w:tcW w:w="9815" w:type="dxa"/>
            <w:gridSpan w:val="9"/>
          </w:tcPr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Экологический блок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Удельный вес организаций, осуществлявших экологические инновации в отчетном году, в общем числе обследованных организаций, %</w:t>
            </w:r>
          </w:p>
        </w:tc>
        <w:tc>
          <w:tcPr>
            <w:tcW w:w="939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31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0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6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Природоёмкость</w:t>
            </w:r>
            <w:proofErr w:type="spell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ВРП по выбросам загрязняющих веществ в атмосферный воздух от стационарных источников, </w:t>
            </w:r>
            <w:proofErr w:type="gram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/тыс. руб.</w:t>
            </w:r>
          </w:p>
        </w:tc>
        <w:tc>
          <w:tcPr>
            <w:tcW w:w="939" w:type="dxa"/>
            <w:vAlign w:val="center"/>
          </w:tcPr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937" w:type="dxa"/>
            <w:vAlign w:val="center"/>
          </w:tcPr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937" w:type="dxa"/>
            <w:vAlign w:val="center"/>
          </w:tcPr>
          <w:p w:rsidR="00C82D6F" w:rsidRPr="00D83B7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D83B7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37" w:type="dxa"/>
            <w:vAlign w:val="center"/>
          </w:tcPr>
          <w:p w:rsidR="00C82D6F" w:rsidRPr="00D83B7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D83B7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37" w:type="dxa"/>
            <w:vAlign w:val="center"/>
          </w:tcPr>
          <w:p w:rsidR="00C82D6F" w:rsidRPr="00D83B7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D83B7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31" w:type="dxa"/>
            <w:vAlign w:val="center"/>
          </w:tcPr>
          <w:p w:rsidR="00C82D6F" w:rsidRPr="00D83B7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D83B7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60" w:type="dxa"/>
            <w:vAlign w:val="center"/>
          </w:tcPr>
          <w:p w:rsidR="00C82D6F" w:rsidRPr="00D83B7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D83B7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66" w:type="dxa"/>
            <w:vAlign w:val="center"/>
          </w:tcPr>
          <w:p w:rsidR="00C82D6F" w:rsidRDefault="00EA0099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Природоёмкость</w:t>
            </w:r>
            <w:proofErr w:type="spell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ВРП по сбросам загрязнённых сточных вод, </w:t>
            </w:r>
            <w:proofErr w:type="gram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³/тыс. руб.</w:t>
            </w:r>
          </w:p>
        </w:tc>
        <w:tc>
          <w:tcPr>
            <w:tcW w:w="939" w:type="dxa"/>
            <w:vAlign w:val="center"/>
          </w:tcPr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937" w:type="dxa"/>
            <w:vAlign w:val="center"/>
          </w:tcPr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937" w:type="dxa"/>
            <w:vAlign w:val="center"/>
          </w:tcPr>
          <w:p w:rsidR="00C82D6F" w:rsidRPr="005A4BD2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D2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937" w:type="dxa"/>
            <w:vAlign w:val="center"/>
          </w:tcPr>
          <w:p w:rsidR="00C82D6F" w:rsidRPr="005A4BD2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D2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937" w:type="dxa"/>
            <w:vAlign w:val="center"/>
          </w:tcPr>
          <w:p w:rsidR="00C82D6F" w:rsidRPr="005A4BD2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D2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931" w:type="dxa"/>
            <w:vAlign w:val="center"/>
          </w:tcPr>
          <w:p w:rsidR="00C82D6F" w:rsidRPr="005A4BD2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D2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960" w:type="dxa"/>
            <w:vAlign w:val="center"/>
          </w:tcPr>
          <w:p w:rsidR="00C82D6F" w:rsidRPr="005A4BD2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BD2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766" w:type="dxa"/>
            <w:vAlign w:val="center"/>
          </w:tcPr>
          <w:p w:rsidR="00C82D6F" w:rsidRDefault="00784E15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Природоёмкость</w:t>
            </w:r>
            <w:proofErr w:type="spell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ВРП по образованию отходов производства и потребления, кг/</w:t>
            </w:r>
            <w:proofErr w:type="spell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9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37" w:type="dxa"/>
            <w:vAlign w:val="center"/>
          </w:tcPr>
          <w:p w:rsidR="00C82D6F" w:rsidRPr="000E5400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E5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0E5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vAlign w:val="center"/>
          </w:tcPr>
          <w:p w:rsidR="00C82D6F" w:rsidRPr="000E5400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E54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0E54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Align w:val="center"/>
          </w:tcPr>
          <w:p w:rsidR="00C82D6F" w:rsidRPr="000E5400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E5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0E54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vAlign w:val="center"/>
          </w:tcPr>
          <w:p w:rsidR="00C82D6F" w:rsidRPr="000E5400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E5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0E54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vAlign w:val="center"/>
          </w:tcPr>
          <w:p w:rsidR="00C82D6F" w:rsidRPr="000E5400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0E5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0E5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Доля использованных отходов в общем объеме образовавшихся отходов в процессе </w:t>
            </w: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производства и потребления, %</w:t>
            </w:r>
          </w:p>
        </w:tc>
        <w:tc>
          <w:tcPr>
            <w:tcW w:w="939" w:type="dxa"/>
            <w:vAlign w:val="center"/>
          </w:tcPr>
          <w:p w:rsidR="00C82D6F" w:rsidRPr="00EA0099" w:rsidRDefault="00EA0099" w:rsidP="003004B7">
            <w:pPr>
              <w:jc w:val="center"/>
              <w:rPr>
                <w:rFonts w:ascii="Times New Roman" w:hAnsi="Times New Roman" w:cs="Times New Roman"/>
              </w:rPr>
            </w:pPr>
            <w:r w:rsidRPr="00EA0099">
              <w:rPr>
                <w:rFonts w:ascii="Times New Roman" w:hAnsi="Times New Roman" w:cs="Times New Roman"/>
              </w:rPr>
              <w:lastRenderedPageBreak/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7" w:type="dxa"/>
            <w:vAlign w:val="center"/>
          </w:tcPr>
          <w:p w:rsidR="00C82D6F" w:rsidRPr="00EA0099" w:rsidRDefault="00EA0099" w:rsidP="003004B7">
            <w:pPr>
              <w:jc w:val="center"/>
              <w:rPr>
                <w:rFonts w:ascii="Times New Roman" w:hAnsi="Times New Roman" w:cs="Times New Roman"/>
              </w:rPr>
            </w:pPr>
            <w:r w:rsidRPr="00EA0099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37" w:type="dxa"/>
            <w:vAlign w:val="center"/>
          </w:tcPr>
          <w:p w:rsidR="00C82D6F" w:rsidRPr="00EA009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EA0099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37" w:type="dxa"/>
            <w:vAlign w:val="center"/>
          </w:tcPr>
          <w:p w:rsidR="00C82D6F" w:rsidRPr="00EA009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EA009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37" w:type="dxa"/>
            <w:vAlign w:val="center"/>
          </w:tcPr>
          <w:p w:rsidR="00C82D6F" w:rsidRPr="00EA009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EA009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31" w:type="dxa"/>
            <w:vAlign w:val="center"/>
          </w:tcPr>
          <w:p w:rsidR="00C82D6F" w:rsidRPr="00EA0099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EA009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60" w:type="dxa"/>
            <w:vAlign w:val="center"/>
          </w:tcPr>
          <w:p w:rsidR="00C82D6F" w:rsidRPr="00E53027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 w:rsidRPr="00B03BC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66" w:type="dxa"/>
            <w:vAlign w:val="center"/>
          </w:tcPr>
          <w:p w:rsidR="00C82D6F" w:rsidRPr="00E53027" w:rsidRDefault="00C82D6F" w:rsidP="003E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Энергоёмкость ВРП, </w:t>
            </w:r>
            <w:proofErr w:type="gramStart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условного топлива/ 10 тыс. руб.</w:t>
            </w:r>
          </w:p>
        </w:tc>
        <w:tc>
          <w:tcPr>
            <w:tcW w:w="939" w:type="dxa"/>
            <w:vAlign w:val="center"/>
          </w:tcPr>
          <w:p w:rsidR="00C82D6F" w:rsidRPr="001737D8" w:rsidRDefault="00F2249A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267,85</w:t>
            </w:r>
          </w:p>
        </w:tc>
        <w:tc>
          <w:tcPr>
            <w:tcW w:w="937" w:type="dxa"/>
            <w:vAlign w:val="center"/>
          </w:tcPr>
          <w:p w:rsidR="00C82D6F" w:rsidRPr="001737D8" w:rsidRDefault="00F2249A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228,35</w:t>
            </w:r>
          </w:p>
        </w:tc>
        <w:tc>
          <w:tcPr>
            <w:tcW w:w="937" w:type="dxa"/>
            <w:vAlign w:val="center"/>
          </w:tcPr>
          <w:p w:rsidR="00C82D6F" w:rsidRPr="001737D8" w:rsidRDefault="00F2249A" w:rsidP="00F224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209,58</w:t>
            </w:r>
          </w:p>
        </w:tc>
        <w:tc>
          <w:tcPr>
            <w:tcW w:w="937" w:type="dxa"/>
            <w:vAlign w:val="center"/>
          </w:tcPr>
          <w:p w:rsidR="00C82D6F" w:rsidRPr="001737D8" w:rsidRDefault="00B22F5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5F">
              <w:rPr>
                <w:rFonts w:ascii="Times New Roman" w:eastAsia="Times New Roman" w:hAnsi="Times New Roman" w:cs="Times New Roman"/>
                <w:lang w:eastAsia="ru-RU"/>
              </w:rPr>
              <w:t>190,82</w:t>
            </w:r>
          </w:p>
        </w:tc>
        <w:tc>
          <w:tcPr>
            <w:tcW w:w="937" w:type="dxa"/>
            <w:vAlign w:val="center"/>
          </w:tcPr>
          <w:p w:rsidR="00C82D6F" w:rsidRPr="001737D8" w:rsidRDefault="00B22F5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5F">
              <w:rPr>
                <w:rFonts w:ascii="Times New Roman" w:eastAsia="Times New Roman" w:hAnsi="Times New Roman" w:cs="Times New Roman"/>
                <w:lang w:eastAsia="ru-RU"/>
              </w:rPr>
              <w:t>175,51</w:t>
            </w:r>
          </w:p>
        </w:tc>
        <w:tc>
          <w:tcPr>
            <w:tcW w:w="931" w:type="dxa"/>
            <w:vAlign w:val="center"/>
          </w:tcPr>
          <w:p w:rsidR="00C82D6F" w:rsidRPr="001737D8" w:rsidRDefault="00B22F5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5F">
              <w:rPr>
                <w:rFonts w:ascii="Times New Roman" w:eastAsia="Times New Roman" w:hAnsi="Times New Roman" w:cs="Times New Roman"/>
                <w:lang w:eastAsia="ru-RU"/>
              </w:rPr>
              <w:t>161,09</w:t>
            </w:r>
          </w:p>
        </w:tc>
        <w:tc>
          <w:tcPr>
            <w:tcW w:w="960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0EB">
              <w:rPr>
                <w:rFonts w:ascii="Times New Roman" w:eastAsia="Times New Roman" w:hAnsi="Times New Roman" w:cs="Times New Roman"/>
                <w:lang w:eastAsia="ru-RU"/>
              </w:rPr>
              <w:t>156,33</w:t>
            </w:r>
          </w:p>
        </w:tc>
        <w:tc>
          <w:tcPr>
            <w:tcW w:w="766" w:type="dxa"/>
            <w:vAlign w:val="center"/>
          </w:tcPr>
          <w:p w:rsidR="00C82D6F" w:rsidRPr="00314519" w:rsidRDefault="00B16D26" w:rsidP="003158C8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16D26">
              <w:rPr>
                <w:rFonts w:ascii="Times New Roman" w:eastAsia="Times New Roman" w:hAnsi="Times New Roman" w:cs="Times New Roman"/>
                <w:lang w:eastAsia="ru-RU"/>
              </w:rPr>
              <w:t>151,64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>Удельный вес выбросов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загрязняющих веществ</w:t>
            </w: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от авто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мобильного транспорта</w:t>
            </w:r>
            <w:r w:rsidRPr="0095479C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объёме загрязняющих веществ, %</w:t>
            </w:r>
          </w:p>
        </w:tc>
        <w:tc>
          <w:tcPr>
            <w:tcW w:w="939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937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71,0</w:t>
            </w:r>
          </w:p>
        </w:tc>
        <w:tc>
          <w:tcPr>
            <w:tcW w:w="937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937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937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931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960" w:type="dxa"/>
            <w:vAlign w:val="center"/>
          </w:tcPr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0EB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766" w:type="dxa"/>
            <w:vAlign w:val="center"/>
          </w:tcPr>
          <w:p w:rsidR="00C82D6F" w:rsidRPr="00314519" w:rsidRDefault="00EA0099" w:rsidP="003E22BB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EA0099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автотранспорта, имеющего возможность использовать компримированный природный газ в качестве моторного топлива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%:</w:t>
            </w:r>
            <w:proofErr w:type="gramEnd"/>
          </w:p>
          <w:p w:rsidR="00C82D6F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легковых автомобилей </w:t>
            </w:r>
          </w:p>
          <w:p w:rsidR="00C82D6F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грузовых автомобилей</w:t>
            </w:r>
          </w:p>
          <w:p w:rsidR="00C82D6F" w:rsidRPr="0095479C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автобусов</w:t>
            </w:r>
          </w:p>
        </w:tc>
        <w:tc>
          <w:tcPr>
            <w:tcW w:w="939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31" w:type="dxa"/>
            <w:vAlign w:val="bottom"/>
          </w:tcPr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82D6F">
              <w:rPr>
                <w:rFonts w:ascii="Times New Roman" w:hAnsi="Times New Roman" w:cs="Times New Roman"/>
                <w:color w:val="000000"/>
              </w:rPr>
              <w:t>,04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60" w:type="dxa"/>
            <w:vAlign w:val="bottom"/>
          </w:tcPr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4CF4" w:rsidRDefault="001A4CF4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66" w:type="dxa"/>
            <w:vAlign w:val="bottom"/>
          </w:tcPr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CF4" w:rsidRDefault="001A4CF4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  <w:p w:rsidR="00C82D6F" w:rsidRPr="000860EB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213220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 xml:space="preserve">Доля автотранспорта, имеющего возможность использовать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электроэнергию </w:t>
            </w: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в качестве моторного топлива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C82D6F" w:rsidRPr="00213220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 xml:space="preserve">легковых автомобилей </w:t>
            </w:r>
          </w:p>
          <w:p w:rsidR="00C82D6F" w:rsidRPr="00213220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грузовых автомобилей</w:t>
            </w:r>
          </w:p>
          <w:p w:rsidR="00C82D6F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автобусов</w:t>
            </w:r>
          </w:p>
        </w:tc>
        <w:tc>
          <w:tcPr>
            <w:tcW w:w="939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31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60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  <w:p w:rsidR="00C82D6F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  <w:p w:rsidR="00C82D6F" w:rsidRPr="000860EB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766" w:type="dxa"/>
            <w:vAlign w:val="bottom"/>
          </w:tcPr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C82D6F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C82D6F" w:rsidRPr="000860EB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C82D6F" w:rsidRPr="00596DD6" w:rsidTr="003E22BB">
        <w:tc>
          <w:tcPr>
            <w:tcW w:w="9815" w:type="dxa"/>
            <w:gridSpan w:val="9"/>
          </w:tcPr>
          <w:p w:rsidR="00C82D6F" w:rsidRPr="000860EB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блок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596DD6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безработицы, %</w:t>
            </w:r>
          </w:p>
        </w:tc>
        <w:tc>
          <w:tcPr>
            <w:tcW w:w="939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D6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31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D6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60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D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766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DD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C82D6F" w:rsidRPr="00596DD6" w:rsidTr="003E22BB">
        <w:tc>
          <w:tcPr>
            <w:tcW w:w="2471" w:type="dxa"/>
          </w:tcPr>
          <w:p w:rsidR="00C82D6F" w:rsidRPr="00596DD6" w:rsidRDefault="00C82D6F" w:rsidP="003E2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939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937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D6">
              <w:rPr>
                <w:rFonts w:ascii="Times New Roman" w:eastAsia="Times New Roman" w:hAnsi="Times New Roman" w:cs="Times New Roman"/>
                <w:lang w:eastAsia="ru-RU"/>
              </w:rPr>
              <w:t>70,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31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70,46</w:t>
            </w:r>
          </w:p>
        </w:tc>
        <w:tc>
          <w:tcPr>
            <w:tcW w:w="960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70,97</w:t>
            </w:r>
          </w:p>
        </w:tc>
        <w:tc>
          <w:tcPr>
            <w:tcW w:w="766" w:type="dxa"/>
            <w:vAlign w:val="center"/>
          </w:tcPr>
          <w:p w:rsidR="00C82D6F" w:rsidRPr="00596DD6" w:rsidRDefault="00C82D6F" w:rsidP="003E22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72,34</w:t>
            </w:r>
          </w:p>
        </w:tc>
      </w:tr>
      <w:tr w:rsidR="009372E1" w:rsidRPr="00596DD6" w:rsidTr="00314519">
        <w:tc>
          <w:tcPr>
            <w:tcW w:w="2471" w:type="dxa"/>
          </w:tcPr>
          <w:p w:rsidR="009372E1" w:rsidRPr="00596DD6" w:rsidRDefault="009372E1" w:rsidP="009665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939" w:type="dxa"/>
            <w:vAlign w:val="center"/>
          </w:tcPr>
          <w:p w:rsidR="009372E1" w:rsidRPr="00DB6D1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DB6D1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DB6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Align w:val="center"/>
          </w:tcPr>
          <w:p w:rsidR="009372E1" w:rsidRPr="00DB6D1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DB6D1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DB6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Align w:val="center"/>
          </w:tcPr>
          <w:p w:rsidR="009372E1" w:rsidRPr="00DB6D1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DB6D1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DB6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Align w:val="center"/>
          </w:tcPr>
          <w:p w:rsidR="009372E1" w:rsidRPr="00DB6D1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DB6D1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DB6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Align w:val="center"/>
          </w:tcPr>
          <w:p w:rsidR="009372E1" w:rsidRPr="00DB6D1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DB6D1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DB6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9372E1" w:rsidRPr="00DB6D1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DB6D1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DB6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vAlign w:val="center"/>
          </w:tcPr>
          <w:p w:rsidR="009372E1" w:rsidRPr="00A40AC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A40AC8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66" w:type="dxa"/>
            <w:vAlign w:val="center"/>
          </w:tcPr>
          <w:p w:rsidR="009372E1" w:rsidRPr="00A40AC8" w:rsidRDefault="009372E1" w:rsidP="00314519">
            <w:pPr>
              <w:jc w:val="center"/>
              <w:rPr>
                <w:rFonts w:ascii="Times New Roman" w:hAnsi="Times New Roman" w:cs="Times New Roman"/>
              </w:rPr>
            </w:pPr>
            <w:r w:rsidRPr="00A40AC8">
              <w:rPr>
                <w:rFonts w:ascii="Times New Roman" w:hAnsi="Times New Roman" w:cs="Times New Roman"/>
              </w:rPr>
              <w:t>15,1</w:t>
            </w:r>
          </w:p>
        </w:tc>
      </w:tr>
    </w:tbl>
    <w:p w:rsidR="00C82D6F" w:rsidRDefault="00C82D6F" w:rsidP="00C82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данным, показатели, характеризующие </w:t>
      </w:r>
      <w:r w:rsidRPr="0000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отражают положительную динамику, за исключением снижения объёмов инвестиций в основной капитал на душу населения в 2016 году. При этом крайне низкие значения показателя «д</w:t>
      </w:r>
      <w:r w:rsidRPr="00975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инвестиций  в основной капитал, направленный на охрану окружающей среды и рациональное использование природных ресурсов, в общем объёме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свидетельствует о слабой заинтересованности хозяйствующих субъектов инвестировать средства в экологические проекты. </w:t>
      </w:r>
    </w:p>
    <w:p w:rsidR="00C82D6F" w:rsidRDefault="00C82D6F" w:rsidP="00C82D6F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подтверждает и отрицательная динамика у</w:t>
      </w:r>
      <w:r w:rsidRPr="00CA0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влявших экологические инновации, который в 2017 году достиг минимального значения 0,6%, за последние 8 лет.</w:t>
      </w:r>
      <w:r w:rsidRPr="00CA0C36">
        <w:t xml:space="preserve"> </w:t>
      </w:r>
      <w:proofErr w:type="gramEnd"/>
    </w:p>
    <w:p w:rsidR="00C82D6F" w:rsidRPr="007B3295" w:rsidRDefault="00C82D6F" w:rsidP="00C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показатели </w:t>
      </w:r>
      <w:r w:rsidRPr="007B3295">
        <w:rPr>
          <w:rFonts w:ascii="Times New Roman" w:hAnsi="Times New Roman" w:cs="Times New Roman"/>
          <w:b/>
          <w:sz w:val="28"/>
          <w:szCs w:val="28"/>
        </w:rPr>
        <w:t>экологического блока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 о недостаточной эффективности использования ресурсов и проводимой в 2010-2017 годах природоохранной политике. </w:t>
      </w:r>
      <w:r w:rsidRPr="007B3295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7B3295">
        <w:rPr>
          <w:rFonts w:ascii="Times New Roman" w:hAnsi="Times New Roman" w:cs="Times New Roman"/>
          <w:sz w:val="28"/>
          <w:szCs w:val="28"/>
        </w:rPr>
        <w:t>природёмкости</w:t>
      </w:r>
      <w:proofErr w:type="spellEnd"/>
      <w:r w:rsidRPr="007B3295">
        <w:rPr>
          <w:rFonts w:ascii="Times New Roman" w:hAnsi="Times New Roman" w:cs="Times New Roman"/>
          <w:sz w:val="28"/>
          <w:szCs w:val="28"/>
        </w:rPr>
        <w:t xml:space="preserve"> ВРП - удельная величина загрязнений в расчете на единицу конечной продукции. Показатель </w:t>
      </w:r>
      <w:proofErr w:type="spellStart"/>
      <w:r w:rsidRPr="007B3295">
        <w:rPr>
          <w:rFonts w:ascii="Times New Roman" w:hAnsi="Times New Roman" w:cs="Times New Roman"/>
          <w:sz w:val="28"/>
          <w:szCs w:val="28"/>
        </w:rPr>
        <w:t>природоёмкости</w:t>
      </w:r>
      <w:proofErr w:type="spellEnd"/>
      <w:r w:rsidRPr="007B3295">
        <w:rPr>
          <w:rFonts w:ascii="Times New Roman" w:hAnsi="Times New Roman" w:cs="Times New Roman"/>
          <w:sz w:val="28"/>
          <w:szCs w:val="28"/>
        </w:rPr>
        <w:t xml:space="preserve"> ВРП по образованию отходов - весьма инертный. При производстве продукции на 1 тыс. рублей образуется в среднем 2,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3295">
        <w:rPr>
          <w:rFonts w:ascii="Times New Roman" w:hAnsi="Times New Roman" w:cs="Times New Roman"/>
          <w:sz w:val="28"/>
          <w:szCs w:val="28"/>
        </w:rPr>
        <w:t xml:space="preserve"> кг отходов. Тенденция к снижению </w:t>
      </w:r>
      <w:r>
        <w:rPr>
          <w:rFonts w:ascii="Times New Roman" w:hAnsi="Times New Roman" w:cs="Times New Roman"/>
          <w:sz w:val="28"/>
          <w:szCs w:val="28"/>
        </w:rPr>
        <w:t>значения данного показателя</w:t>
      </w:r>
      <w:r w:rsidRPr="007B3295">
        <w:rPr>
          <w:rFonts w:ascii="Times New Roman" w:hAnsi="Times New Roman" w:cs="Times New Roman"/>
          <w:sz w:val="28"/>
          <w:szCs w:val="28"/>
        </w:rPr>
        <w:t xml:space="preserve"> не прослеживается. Показатели </w:t>
      </w:r>
      <w:proofErr w:type="spellStart"/>
      <w:r w:rsidRPr="007B3295">
        <w:rPr>
          <w:rFonts w:ascii="Times New Roman" w:hAnsi="Times New Roman" w:cs="Times New Roman"/>
          <w:sz w:val="28"/>
          <w:szCs w:val="28"/>
        </w:rPr>
        <w:t>природоёмкости</w:t>
      </w:r>
      <w:proofErr w:type="spellEnd"/>
      <w:r w:rsidRPr="007B3295">
        <w:rPr>
          <w:rFonts w:ascii="Times New Roman" w:hAnsi="Times New Roman" w:cs="Times New Roman"/>
          <w:sz w:val="28"/>
          <w:szCs w:val="28"/>
        </w:rPr>
        <w:t xml:space="preserve"> ВРП по выбросам загрязняющих веществ в атмосферный воздух от стационарных источников и сбросам загрязнённых сточный вод имеют тенденцию к снижению. Т.е. в регионе при ростре ВРП нагрузка на окружающую среду не увеличивается. Следует </w:t>
      </w:r>
      <w:proofErr w:type="gramStart"/>
      <w:r w:rsidRPr="007B3295">
        <w:rPr>
          <w:rFonts w:ascii="Times New Roman" w:hAnsi="Times New Roman" w:cs="Times New Roman"/>
          <w:sz w:val="28"/>
          <w:szCs w:val="28"/>
        </w:rPr>
        <w:t>обратить особое внимание системе</w:t>
      </w:r>
      <w:proofErr w:type="gramEnd"/>
      <w:r w:rsidRPr="007B3295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потребления, стимулировать процессы утилизации отходов, их повторного использования.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энергоёмкости ВРП рассчитывается Федеральной службой государственной статистики с 2016 года. Данный показатель отражает, какое количество энергии затрачивается  для получения 10 тыс. рублей валового регионального продукта; чем ниже расход энергии на единицу ВРП, тем эффективнее с точки зрения использования энергоресурсов осуществляется хозяйственная деятельность.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="002A2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включённых в </w:t>
      </w:r>
      <w:r w:rsidRPr="0033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целом отражает рост социального благополучия населения. Одна из главных характеристик социального благополучия – ожидаемая продолжительность жизни – увеличилась на 3,84 года, уровень безработицы ежегодно снижается. </w:t>
      </w:r>
      <w:r w:rsidR="00E1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снижение </w:t>
      </w:r>
      <w:r w:rsidR="002A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</w:t>
      </w:r>
      <w:r w:rsidR="00E169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E169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E1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E1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отри3цательная динамика роста доли населения с денежными доходами ниже величины прожиточного минимума</w:t>
      </w:r>
      <w:r w:rsid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доказывает необходимость диверсификации экономики, поиск новых возможностей для экономического роста и роста доходов населения Ульяновской области.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показал, что регионе есть задел для перехода к «зелёной» экономике, а значения ряда показателей ещё раз подтверждают необходимость модернизации региональной экономики, привлечения «зелёных» инвестиций, внедрения новых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циклических процессов в производстве, позволяющих более эффективно использовать имеющиеся ресурсы, получая более высокую добавленную стоимость.</w:t>
      </w:r>
    </w:p>
    <w:p w:rsidR="00C82D6F" w:rsidRDefault="00C82D6F" w:rsidP="00C8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значениях индикативных показате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A547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приведены в приложении № 3 к настоящей программе.</w:t>
      </w:r>
    </w:p>
    <w:p w:rsidR="000434A6" w:rsidRDefault="00E834A5" w:rsidP="0004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предусмотренных </w:t>
      </w:r>
      <w:r w:rsidR="00841475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будет способствовать достижению следующих </w:t>
      </w:r>
      <w:proofErr w:type="spellStart"/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9B7A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B7AB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-эколого-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результатов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2030 году</w:t>
      </w:r>
      <w:r w:rsidR="00A41C0D" w:rsidRPr="00A4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базовым (2017 годом)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90A" w:rsidRPr="0003290A" w:rsidRDefault="0003290A" w:rsidP="0013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ВРП на душу населения</w:t>
      </w:r>
      <w:r w:rsidR="009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 раза больше</w:t>
      </w:r>
      <w:r w:rsidR="0013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90A" w:rsidRPr="0003290A" w:rsidRDefault="009B7ABD" w:rsidP="0013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90A"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риродоёмкость</w:t>
      </w:r>
      <w:proofErr w:type="spellEnd"/>
      <w:r w:rsidR="0003290A"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ВРП по выбросам загрязняющих веществ в атмосферный воздух от стационарных источников</w:t>
      </w:r>
      <w:r w:rsidR="00A4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7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 в 2 раза;</w:t>
      </w:r>
    </w:p>
    <w:p w:rsidR="0003290A" w:rsidRPr="0003290A" w:rsidRDefault="00A41C0D" w:rsidP="0013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90A"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риродоёмкость</w:t>
      </w:r>
      <w:proofErr w:type="spellEnd"/>
      <w:r w:rsidR="0003290A"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ВРП по сбросам загрязнённых сточных вод</w:t>
      </w:r>
      <w:r w:rsidRPr="00A4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снизится в 2 раза ниже;</w:t>
      </w:r>
    </w:p>
    <w:p w:rsidR="0003290A" w:rsidRPr="0003290A" w:rsidRDefault="00A41C0D" w:rsidP="0013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90A"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риродоёмкость</w:t>
      </w:r>
      <w:proofErr w:type="spellEnd"/>
      <w:r w:rsidR="0003290A" w:rsidRPr="0003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ВРП по образованию отходов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сократиться в 9 раз;</w:t>
      </w:r>
    </w:p>
    <w:p w:rsidR="0003290A" w:rsidRPr="0003290A" w:rsidRDefault="00A41C0D" w:rsidP="0013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7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3290A" w:rsidRPr="009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нергоёмкость ВРП</w:t>
      </w:r>
      <w:r w:rsidRPr="0099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сократится </w:t>
      </w:r>
      <w:r w:rsidR="0099237B" w:rsidRPr="0099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20%</w:t>
      </w:r>
      <w:r w:rsidRPr="00992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40F" w:rsidRPr="0013340F" w:rsidRDefault="00A41C0D" w:rsidP="00133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340F" w:rsidRPr="00133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безработицы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снизится на 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3340F" w:rsidRPr="0013340F" w:rsidRDefault="00A41C0D" w:rsidP="00133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40F" w:rsidRPr="00133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жидаемая продолжительность жизни при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увеличится на 7,7 лет;</w:t>
      </w:r>
    </w:p>
    <w:p w:rsidR="00545522" w:rsidRDefault="009372E1" w:rsidP="00B16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 с денежными доходами ниже величины  </w:t>
      </w:r>
      <w:r w:rsidR="00B16D26"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</w:t>
      </w:r>
      <w:r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 – с</w:t>
      </w:r>
      <w:r w:rsidR="00314519"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ократится в 1,9 раза</w:t>
      </w:r>
      <w:r w:rsidR="00E056C2" w:rsidRPr="0031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C2" w:rsidRDefault="00E056C2" w:rsidP="0013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A5" w:rsidRPr="00617AFE" w:rsidRDefault="003B3470" w:rsidP="00CB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834A5" w:rsidRPr="0061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4A5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управления </w:t>
      </w:r>
      <w:r w:rsidR="00841475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E834A5" w:rsidRPr="0061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</w:p>
    <w:p w:rsidR="005137E8" w:rsidRDefault="005137E8" w:rsidP="00BB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0E" w:rsidRPr="00CB50D7" w:rsidRDefault="00E834A5" w:rsidP="00BB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841475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осуществляется </w:t>
      </w:r>
      <w:r w:rsidR="005D2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природы и цикличной экономики Ульяновской области, Министерством промышленности, строительств</w:t>
      </w:r>
      <w:r w:rsidR="00780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жилищно-коммунального комплекса и транспорта Ульяновской области, </w:t>
      </w:r>
      <w:r w:rsidR="00BB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агропромышленного комплекса и развития сельских территорий Ульяновской области, </w:t>
      </w:r>
      <w:r w:rsidR="005D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BB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Ульяновской области 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государственных контрактов, заключаемых в установленном порядке с исполнителями мероприятий государственн</w:t>
      </w:r>
      <w:r w:rsidR="00BB43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r w:rsidR="00BB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30E" w:rsidRDefault="00E834A5" w:rsidP="00D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B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и цикличной экономики 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в ходе реализации </w:t>
      </w:r>
      <w:r w:rsidR="00841475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137E8" w:rsidRDefault="005137E8" w:rsidP="0051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и методическое обеспечение реализации мероприятий программы;</w:t>
      </w:r>
    </w:p>
    <w:p w:rsidR="005137E8" w:rsidRDefault="005137E8" w:rsidP="00D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реализации мероприятий программы исполнительными органами государственной власти Ульяновской области – соисполнителями программы в рамках межведомственного взаимодействия;</w:t>
      </w:r>
    </w:p>
    <w:p w:rsidR="005137E8" w:rsidRDefault="005137E8" w:rsidP="0051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мониторинг хода реализации и оценку эффективности реализации программы;</w:t>
      </w:r>
    </w:p>
    <w:p w:rsidR="00134C15" w:rsidRDefault="00E834A5" w:rsidP="00D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ответственность за своевременную и качественную реализацию мероприятий </w:t>
      </w:r>
      <w:r w:rsidR="00841475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достижение значений целевых индикаторов </w:t>
      </w:r>
      <w:r w:rsidR="00841475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также конечных результатов ее реализации;</w:t>
      </w:r>
    </w:p>
    <w:p w:rsidR="00E834A5" w:rsidRDefault="00E834A5" w:rsidP="00D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вносит в установленном порядке предложения о внесении изменений в </w:t>
      </w:r>
      <w:r w:rsidR="00841475"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D3F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22" w:rsidRDefault="00545522" w:rsidP="00CB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B7" w:rsidRDefault="003004B7" w:rsidP="00AC5239">
      <w:pPr>
        <w:spacing w:after="0" w:line="36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4B7" w:rsidRDefault="003004B7" w:rsidP="00AC5239">
      <w:pPr>
        <w:spacing w:after="0" w:line="36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4B7" w:rsidRDefault="003004B7" w:rsidP="00AC5239">
      <w:pPr>
        <w:spacing w:after="0" w:line="36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4B7" w:rsidRDefault="003004B7" w:rsidP="00AC5239">
      <w:pPr>
        <w:spacing w:after="0" w:line="36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2E0" w:rsidRDefault="009665A0" w:rsidP="00AC5239">
      <w:pPr>
        <w:spacing w:after="0" w:line="36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BC2CD2" w:rsidRPr="0054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071B1F" w:rsidRPr="0054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C2CD2" w:rsidRPr="0054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AC5239" w:rsidRDefault="000A62E0" w:rsidP="000A62E0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перехода </w:t>
      </w:r>
    </w:p>
    <w:p w:rsidR="00545522" w:rsidRPr="00545522" w:rsidRDefault="000A62E0" w:rsidP="000A62E0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«зелёной» (циклической)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Ульяновской области</w:t>
      </w:r>
    </w:p>
    <w:p w:rsidR="00545522" w:rsidRDefault="00545522" w:rsidP="00CB50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85A" w:rsidRDefault="00B9785A" w:rsidP="00CB50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85A" w:rsidRDefault="00B9785A" w:rsidP="00B978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ссылки</w:t>
      </w:r>
    </w:p>
    <w:p w:rsidR="006D19CC" w:rsidRDefault="006D19CC" w:rsidP="00CB50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85A" w:rsidRDefault="00B9785A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19.04.2017 № 176 «О Стратегии экологической безопасности Российской Федерации на период до 2025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785A" w:rsidRDefault="00B9785A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«Основами государственной политики в области экологического развития Российской Федерации на период до 2030 года», утверждённы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Президентом 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 30.04.2012.</w:t>
      </w:r>
    </w:p>
    <w:p w:rsidR="007E7E93" w:rsidRDefault="00B9785A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24.06.1998 № 89-ФЗ «Об отхо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 производства и потребления».</w:t>
      </w:r>
    </w:p>
    <w:p w:rsidR="007E7E93" w:rsidRDefault="00B9785A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10.01.2002 № 7-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охране окружающей среды».</w:t>
      </w:r>
    </w:p>
    <w:p w:rsidR="007E7E93" w:rsidRDefault="00B9785A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26.03.2003 № 35-ФЗ «Об электроэнергетике»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7E93" w:rsidRDefault="00B9785A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03.08.2018 № 280-ФЗ «Об органической продукции и о внесении изменений в отдельные законодательные акты Российской Федерации»</w:t>
      </w:r>
      <w:r w:rsid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7E93" w:rsidRDefault="007E7E93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9785A"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Правительства Российской Федерации от 25.01.2018 № 84-р «Об утверждении Стратегии развития промышленности по обработке, утилизации и обезвреживанию отходов производства и потребления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7E93" w:rsidRDefault="007E7E93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9785A"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Правительства Российской Федерации от 22.11.2008 № 1734-р «Об утверждении Транспортной стратегии Российской Федерации на период до 2030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да».</w:t>
      </w:r>
    </w:p>
    <w:p w:rsidR="007E7E93" w:rsidRDefault="007E7E93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9785A"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Правительства Российской Федерации от 28.04.2018 № 831-р «Об утверждении Стратегии развития автомобильной промышленности Российской Федерации на период до 2025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7E93" w:rsidRDefault="007E7E93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9785A"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Правительства Российской Федерации от 31.08.2002 № 1225-р «Об Экологической доктрине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785A"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19CC" w:rsidRPr="00B9785A" w:rsidRDefault="007E7E93" w:rsidP="00B978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9785A" w:rsidRPr="00B9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Правительства Ульяновской области от 13.07.2015 № 16/319-П «Об утверждении Стратегии социально-экономического развития Ульяновской области до 2030 года».</w:t>
      </w:r>
    </w:p>
    <w:p w:rsidR="00B9785A" w:rsidRDefault="00B9785A" w:rsidP="00B9785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E93" w:rsidRDefault="007E7E9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E93" w:rsidRDefault="007E7E9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E93" w:rsidRDefault="007E7E9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76" w:rsidRDefault="00E62776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76" w:rsidRDefault="00E62776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76" w:rsidRDefault="00E62776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85A" w:rsidRDefault="007E7E93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B1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AC5239" w:rsidRDefault="00AC523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239" w:rsidRDefault="00AC523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</w:t>
      </w:r>
    </w:p>
    <w:p w:rsidR="00AC5239" w:rsidRPr="00545522" w:rsidRDefault="00AC523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«зелёной» (циклической)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Ульяновской области</w:t>
      </w:r>
    </w:p>
    <w:p w:rsidR="007E7E93" w:rsidRDefault="007E7E9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4B9" w:rsidRDefault="00EC44B9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851"/>
        <w:gridCol w:w="851"/>
        <w:gridCol w:w="851"/>
        <w:gridCol w:w="851"/>
        <w:gridCol w:w="851"/>
        <w:gridCol w:w="851"/>
      </w:tblGrid>
      <w:tr w:rsidR="00BE1D0B" w:rsidRPr="00C429D3" w:rsidTr="00F50C73">
        <w:trPr>
          <w:trHeight w:val="780"/>
        </w:trPr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0B" w:rsidRPr="007477E8" w:rsidRDefault="00BE1D0B" w:rsidP="00F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Удельный вес организаций, осуществлявших экологические инновации в общем числе обследованных организаций</w:t>
            </w:r>
            <w:r w:rsidR="00F50C73" w:rsidRPr="00747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r w:rsidRPr="00747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Приволжском федеральном округе</w:t>
            </w:r>
          </w:p>
        </w:tc>
      </w:tr>
      <w:tr w:rsidR="00BE1D0B" w:rsidRPr="00C429D3" w:rsidTr="00F50C73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BE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0B" w:rsidRPr="00C429D3" w:rsidRDefault="00BE1D0B" w:rsidP="00BE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0B" w:rsidRPr="00C429D3" w:rsidRDefault="00BE1D0B" w:rsidP="00B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0B" w:rsidRPr="00C429D3" w:rsidRDefault="00BE1D0B" w:rsidP="00B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0B" w:rsidRPr="00C429D3" w:rsidRDefault="00BE1D0B" w:rsidP="00B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0B" w:rsidRPr="00C429D3" w:rsidRDefault="00BE1D0B" w:rsidP="00B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F50C73" w:rsidP="00BE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D0B"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E1D0B" w:rsidRPr="00C429D3" w:rsidRDefault="00BE1D0B" w:rsidP="00BE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50C73" w:rsidRPr="00C429D3" w:rsidTr="00F50C7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C429D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C429D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E1D0B" w:rsidRPr="00C429D3" w:rsidTr="00F50C7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0B" w:rsidRPr="00F50C73" w:rsidRDefault="00BE1D0B" w:rsidP="00C4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0B" w:rsidRPr="00F50C73" w:rsidRDefault="00BE1D0B" w:rsidP="00C429D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</w:tbl>
    <w:p w:rsidR="00EC44B9" w:rsidRDefault="00EC44B9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90A" w:rsidRDefault="0003290A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76" w:rsidRDefault="00E62776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76" w:rsidRDefault="00E62776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73" w:rsidRDefault="00F50C73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434" w:rsidRDefault="00B22434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4B9" w:rsidRDefault="00EC44B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B1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AC5239" w:rsidRDefault="00AC523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239" w:rsidRDefault="00AC523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</w:t>
      </w:r>
    </w:p>
    <w:p w:rsidR="00AC5239" w:rsidRPr="00545522" w:rsidRDefault="00AC5239" w:rsidP="00AC5239">
      <w:pPr>
        <w:spacing w:after="0" w:line="240" w:lineRule="auto"/>
        <w:ind w:left="538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«зелёной» (циклической)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Ульяновской области</w:t>
      </w:r>
    </w:p>
    <w:p w:rsidR="00EC44B9" w:rsidRDefault="00EC44B9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200" w:rsidRPr="007E7E93" w:rsidRDefault="00042200" w:rsidP="007E7E93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905" w:rsidRPr="00715905" w:rsidRDefault="00BC2CD2" w:rsidP="007159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целевых индикаторов </w:t>
      </w:r>
      <w:r w:rsidR="0071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B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  <w:r w:rsidR="00715905" w:rsidRPr="0071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перехода</w:t>
      </w:r>
    </w:p>
    <w:p w:rsidR="00BC2CD2" w:rsidRDefault="00715905" w:rsidP="007159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«зелёной» (циклической) экономике в Ульяновской области</w:t>
      </w:r>
    </w:p>
    <w:p w:rsidR="00E056C2" w:rsidRPr="00CB50D7" w:rsidRDefault="00E056C2" w:rsidP="002F55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712"/>
        <w:gridCol w:w="80"/>
        <w:gridCol w:w="770"/>
        <w:gridCol w:w="1559"/>
        <w:gridCol w:w="312"/>
        <w:gridCol w:w="781"/>
        <w:gridCol w:w="183"/>
        <w:gridCol w:w="1092"/>
        <w:gridCol w:w="183"/>
        <w:gridCol w:w="1093"/>
        <w:gridCol w:w="183"/>
      </w:tblGrid>
      <w:tr w:rsidR="00437D5A" w:rsidRPr="00464EEA" w:rsidTr="00464EEA">
        <w:trPr>
          <w:gridAfter w:val="1"/>
          <w:wAfter w:w="138" w:type="dxa"/>
          <w:trHeight w:val="15"/>
          <w:tblCellSpacing w:w="15" w:type="dxa"/>
        </w:trPr>
        <w:tc>
          <w:tcPr>
            <w:tcW w:w="504" w:type="dxa"/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  <w:gridSpan w:val="3"/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2"/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D5A" w:rsidRPr="00464EEA" w:rsidTr="00464EEA">
        <w:trPr>
          <w:tblCellSpacing w:w="15" w:type="dxa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Базовое значение целевого индикатора</w:t>
            </w:r>
            <w:r w:rsidR="00170D52"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(2017 г.)</w:t>
            </w:r>
          </w:p>
        </w:tc>
        <w:tc>
          <w:tcPr>
            <w:tcW w:w="378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Значение целевого индикатора</w:t>
            </w:r>
          </w:p>
        </w:tc>
      </w:tr>
      <w:tr w:rsidR="00437D5A" w:rsidRPr="00464EEA" w:rsidTr="00464EEA">
        <w:trPr>
          <w:tblCellSpacing w:w="15" w:type="dxa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8301DE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37D5A"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56EA" w:rsidRPr="00464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301DE" w:rsidRPr="00464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301DE" w:rsidRPr="00464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37D5A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437D5A" w:rsidRPr="00464EEA" w:rsidRDefault="00437D5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5210E" w:rsidRPr="00464EEA" w:rsidTr="00464EEA">
        <w:trPr>
          <w:trHeight w:val="256"/>
          <w:tblCellSpacing w:w="15" w:type="dxa"/>
        </w:trPr>
        <w:tc>
          <w:tcPr>
            <w:tcW w:w="94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15210E" w:rsidRPr="00464EEA" w:rsidRDefault="0015210E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Экономический блок</w:t>
            </w:r>
          </w:p>
        </w:tc>
      </w:tr>
      <w:tr w:rsidR="003A67C5" w:rsidRPr="00464EEA" w:rsidTr="00464EEA">
        <w:trPr>
          <w:trHeight w:val="602"/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B67E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ВРП на душу населения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тыс. руб./чел.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274,4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FE63C7" w:rsidP="00464E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304,1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FE63C7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338,9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B6DED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566,7</w:t>
            </w:r>
          </w:p>
        </w:tc>
      </w:tr>
      <w:tr w:rsidR="003A67C5" w:rsidRPr="00464EEA" w:rsidTr="00464EEA">
        <w:trPr>
          <w:trHeight w:val="614"/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  <w:r w:rsidR="000100B5"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на душу населения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  <w:r w:rsidR="000100B5" w:rsidRPr="00464EEA">
              <w:rPr>
                <w:rFonts w:ascii="Times New Roman" w:eastAsia="Times New Roman" w:hAnsi="Times New Roman" w:cs="Times New Roman"/>
                <w:lang w:eastAsia="ru-RU"/>
              </w:rPr>
              <w:t>/чел.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64EEA" w:rsidP="00464E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64EE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98,63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B6DED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3A67C5" w:rsidRPr="00464EEA" w:rsidTr="00464EEA">
        <w:trPr>
          <w:trHeight w:val="2099"/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Доля инвестиций в основной капитал, направленных на охрану окружающей среды и рациональное использование природных ресурсов, в общем объёме инвестиций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B16D26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B6DED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A41EA5" w:rsidP="00A4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A41EA5" w:rsidP="00A4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A67C5" w:rsidRPr="00464EEA" w:rsidTr="00464EEA">
        <w:trPr>
          <w:trHeight w:val="1698"/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Количество инвестиционных проектов в сфере утилизации отходов производства и потребления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825EC9" w:rsidP="003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825EC9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D934F6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F2F56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A67C5" w:rsidRPr="00464EEA" w:rsidTr="00464EEA">
        <w:trPr>
          <w:trHeight w:val="378"/>
          <w:tblCellSpacing w:w="15" w:type="dxa"/>
        </w:trPr>
        <w:tc>
          <w:tcPr>
            <w:tcW w:w="94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Экологический блок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организаций, внедряющих модель замкнутого цикла, </w:t>
            </w: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ресурсо</w:t>
            </w:r>
            <w:proofErr w:type="spell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- и энергосберегающие технологии на производстве, в рамках мероприятий настоящей программы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Удельный вес организаций, осуществлявших экологические инновации в отчетном году, в общем числе обследованных организаций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6D2611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EA0099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09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D2611" w:rsidRPr="00EA00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EA0099" w:rsidRDefault="006D2611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0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A67C5" w:rsidRPr="00464EEA" w:rsidTr="003602D9">
        <w:trPr>
          <w:trHeight w:val="1334"/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732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Природоёмкость</w:t>
            </w:r>
            <w:proofErr w:type="spell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ВРП по выбросам загрязняющих веществ в атмосферный воздух от стационарных источников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7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/тыс. руб.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EA0099" w:rsidP="007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7327A5" w:rsidRDefault="007327A5" w:rsidP="007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7C5" w:rsidRDefault="00B67EBA" w:rsidP="007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  <w:p w:rsidR="004C0941" w:rsidRPr="00464EEA" w:rsidRDefault="004C0941" w:rsidP="007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B67EBA" w:rsidP="00E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A00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E2554" w:rsidP="007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Природоёмкость</w:t>
            </w:r>
            <w:proofErr w:type="spell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ВРП по сбросам загрязнённых сточных вод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³/тыс. руб.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E2554" w:rsidP="000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  <w:r w:rsidR="000878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E2554" w:rsidP="000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878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0E2554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Природоёмкость</w:t>
            </w:r>
            <w:proofErr w:type="spell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ВРП по образованию отходов производства и потребления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кг/</w:t>
            </w: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473E5" w:rsidP="0044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78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473E5" w:rsidP="0044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78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473E5" w:rsidP="0044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78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Доля использованных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Энергоёмкость ВРП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A4FE4" w:rsidRPr="00464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="001A4FE4" w:rsidRPr="00464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/ 10 тыс. руб.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4519A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62F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7009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462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00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44519A" w:rsidP="00E4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09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462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09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462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E056C2" w:rsidRDefault="0044519A" w:rsidP="005E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096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09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779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E056C2" w:rsidRDefault="00D7792A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120,37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A94116" w:rsidP="0046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116">
              <w:rPr>
                <w:rFonts w:ascii="Times New Roman" w:eastAsia="Times New Roman" w:hAnsi="Times New Roman" w:cs="Times New Roman"/>
                <w:lang w:eastAsia="ru-RU"/>
              </w:rPr>
              <w:t>Доля энергетических ресурсов, производимых с использованием возобновляемых источников энергии, в общем объёме энергетических ресурсов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9332F2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8B0FF2" w:rsidP="008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01C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8B0FF2" w:rsidP="008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A67C5" w:rsidRPr="00464E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8B0FF2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1C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A67C5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342B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выбросов </w:t>
            </w:r>
            <w:r w:rsidR="00342B35">
              <w:rPr>
                <w:rFonts w:ascii="Times New Roman" w:eastAsia="Times New Roman" w:hAnsi="Times New Roman" w:cs="Times New Roman"/>
                <w:lang w:eastAsia="ru-RU"/>
              </w:rPr>
              <w:t xml:space="preserve">загрязняющих веществ 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от авто</w:t>
            </w:r>
            <w:r w:rsidR="00342B35">
              <w:rPr>
                <w:rFonts w:ascii="Times New Roman" w:eastAsia="Times New Roman" w:hAnsi="Times New Roman" w:cs="Times New Roman"/>
                <w:lang w:eastAsia="ru-RU"/>
              </w:rPr>
              <w:t>мобильного транспорта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объёме загрязняющих веществ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A67C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EA0099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42B3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42B35" w:rsidP="0003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3290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A67C5" w:rsidRPr="00464EEA" w:rsidRDefault="00342B35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40AC8" w:rsidRPr="00464EEA" w:rsidTr="00344D24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40AC8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автотранспорта, имеющего возможность использовать компримированный природный газ в качестве моторного топлива:</w:t>
            </w:r>
          </w:p>
          <w:p w:rsidR="00A40AC8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легковых автомобилей </w:t>
            </w:r>
          </w:p>
          <w:p w:rsidR="00A40AC8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грузовых автомобилей</w:t>
            </w:r>
          </w:p>
          <w:p w:rsidR="00A40AC8" w:rsidRPr="0095479C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автобусов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9332F2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A40AC8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  <w:p w:rsidR="00344D24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  <w:p w:rsidR="00344D24" w:rsidRPr="00464EEA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A40AC8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:rsidR="00663A08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  <w:p w:rsidR="00663A08" w:rsidRPr="00464EEA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A40AC8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  <w:p w:rsidR="00663A08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  <w:p w:rsidR="00663A08" w:rsidRPr="00464EEA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A40AC8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663A08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  <w:p w:rsidR="00663A08" w:rsidRPr="00464EEA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40AC8" w:rsidRPr="00464EEA" w:rsidTr="00344D24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40AC8" w:rsidRPr="00213220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 xml:space="preserve">Доля автотранспорта, имеющего возможность использовать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электроэнергию </w:t>
            </w: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в качестве моторного топлива:</w:t>
            </w:r>
          </w:p>
          <w:p w:rsidR="00A40AC8" w:rsidRPr="00213220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 xml:space="preserve">легковых автомобилей </w:t>
            </w:r>
          </w:p>
          <w:p w:rsidR="00A40AC8" w:rsidRPr="00213220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грузовых автомобилей</w:t>
            </w:r>
          </w:p>
          <w:p w:rsidR="00A40AC8" w:rsidRDefault="00A40AC8" w:rsidP="0034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20">
              <w:rPr>
                <w:rFonts w:ascii="Times New Roman" w:eastAsia="Times New Roman" w:hAnsi="Times New Roman" w:cs="Times New Roman"/>
                <w:lang w:eastAsia="ru-RU"/>
              </w:rPr>
              <w:t>автобусов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9332F2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A40AC8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344D24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344D24" w:rsidRPr="00464EEA" w:rsidRDefault="00344D24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A40AC8" w:rsidRPr="00464EEA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7211CB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A40AC8" w:rsidRPr="00464EEA" w:rsidRDefault="007211CB" w:rsidP="0072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bottom"/>
          </w:tcPr>
          <w:p w:rsidR="00A40AC8" w:rsidRDefault="00663A08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  <w:p w:rsidR="00663A08" w:rsidRDefault="007211CB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  <w:p w:rsidR="00663A08" w:rsidRPr="00464EEA" w:rsidRDefault="007211CB" w:rsidP="0034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40AC8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133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Количество заправочных (зарядных) станций для экологически чистого тр</w:t>
            </w:r>
            <w:r w:rsidR="0013340F">
              <w:rPr>
                <w:rFonts w:ascii="Times New Roman" w:eastAsia="Times New Roman" w:hAnsi="Times New Roman" w:cs="Times New Roman"/>
                <w:lang w:eastAsia="ru-RU"/>
              </w:rPr>
              <w:t>анспорта (метан, электричество)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A40AC8" w:rsidRPr="00464EEA" w:rsidTr="00464EEA">
        <w:trPr>
          <w:tblCellSpacing w:w="15" w:type="dxa"/>
        </w:trPr>
        <w:tc>
          <w:tcPr>
            <w:tcW w:w="94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Социальный блок</w:t>
            </w:r>
          </w:p>
        </w:tc>
      </w:tr>
      <w:tr w:rsidR="00A40AC8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рабочих мест, созданных в рамках реализации инвестиционных проектов в сфере утилизации отходов производства и потребления, внедрения модели замкнутого цикла, </w:t>
            </w:r>
            <w:proofErr w:type="spellStart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ресурсо</w:t>
            </w:r>
            <w:proofErr w:type="spellEnd"/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- и энергосберегающих технологий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E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AC8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4EEA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A40AC8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72,34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72,57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73,38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A40AC8" w:rsidRPr="00464EEA" w:rsidRDefault="00A40AC8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1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14519" w:rsidRPr="00464EEA" w:rsidTr="00464EEA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46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1E6C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Доля численности населения с денежными доходами ниже величины прожиточного минимума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1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1E6CE8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64EEA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1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1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14519" w:rsidRPr="00464EEA" w:rsidRDefault="00314519" w:rsidP="001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2F5555" w:rsidRDefault="002F5555" w:rsidP="00E8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Default="004B1612" w:rsidP="002F55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612" w:rsidSect="00D62094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2CD2" w:rsidRDefault="002F5555" w:rsidP="00AC5239">
      <w:pPr>
        <w:tabs>
          <w:tab w:val="left" w:pos="10348"/>
        </w:tabs>
        <w:spacing w:before="100" w:beforeAutospacing="1" w:after="100" w:afterAutospacing="1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C52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E7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C5239" w:rsidRDefault="00AC5239" w:rsidP="00AC5239">
      <w:pPr>
        <w:tabs>
          <w:tab w:val="left" w:pos="10348"/>
        </w:tabs>
        <w:spacing w:after="0" w:line="240" w:lineRule="auto"/>
        <w:ind w:left="10065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</w:t>
      </w:r>
    </w:p>
    <w:p w:rsidR="00AC5239" w:rsidRPr="00545522" w:rsidRDefault="00AC5239" w:rsidP="00AC5239">
      <w:pPr>
        <w:tabs>
          <w:tab w:val="left" w:pos="10348"/>
        </w:tabs>
        <w:spacing w:after="0" w:line="240" w:lineRule="auto"/>
        <w:ind w:left="10065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«зелёной» (циклической)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Ульяновской области</w:t>
      </w:r>
    </w:p>
    <w:p w:rsidR="00AC5239" w:rsidRPr="00C5251F" w:rsidRDefault="00AC5239" w:rsidP="002F55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55" w:rsidRPr="002F5555" w:rsidRDefault="00907905" w:rsidP="002F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2F5555" w:rsidRPr="002F5555">
        <w:rPr>
          <w:rFonts w:ascii="Times New Roman" w:hAnsi="Times New Roman" w:cs="Times New Roman"/>
          <w:b/>
          <w:sz w:val="28"/>
          <w:szCs w:val="28"/>
        </w:rPr>
        <w:t xml:space="preserve"> Программы действий</w:t>
      </w:r>
      <w:r w:rsidR="00E4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555" w:rsidRPr="002F5555">
        <w:rPr>
          <w:rFonts w:ascii="Times New Roman" w:hAnsi="Times New Roman" w:cs="Times New Roman"/>
          <w:b/>
          <w:sz w:val="28"/>
          <w:szCs w:val="28"/>
        </w:rPr>
        <w:t>переход</w:t>
      </w:r>
      <w:r w:rsidR="003D2F39">
        <w:rPr>
          <w:rFonts w:ascii="Times New Roman" w:hAnsi="Times New Roman" w:cs="Times New Roman"/>
          <w:b/>
          <w:sz w:val="28"/>
          <w:szCs w:val="28"/>
        </w:rPr>
        <w:t>а</w:t>
      </w:r>
    </w:p>
    <w:p w:rsidR="003706A3" w:rsidRDefault="005B266F" w:rsidP="002F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«зелёной» (циклической</w:t>
      </w:r>
      <w:r w:rsidR="007159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555" w:rsidRPr="002F5555">
        <w:rPr>
          <w:rFonts w:ascii="Times New Roman" w:hAnsi="Times New Roman" w:cs="Times New Roman"/>
          <w:b/>
          <w:sz w:val="28"/>
          <w:szCs w:val="28"/>
        </w:rPr>
        <w:t>экономике в Ульяновской области</w:t>
      </w:r>
    </w:p>
    <w:p w:rsidR="004B1612" w:rsidRDefault="004B1612" w:rsidP="002F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653"/>
        <w:gridCol w:w="7500"/>
        <w:gridCol w:w="2161"/>
        <w:gridCol w:w="4536"/>
      </w:tblGrid>
      <w:tr w:rsidR="00423BC9" w:rsidRPr="00D2167F" w:rsidTr="00641586">
        <w:tc>
          <w:tcPr>
            <w:tcW w:w="653" w:type="dxa"/>
          </w:tcPr>
          <w:p w:rsidR="004B1612" w:rsidRPr="00D2167F" w:rsidRDefault="004B1612" w:rsidP="0037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4B1612" w:rsidRPr="00D2167F" w:rsidRDefault="004B1612" w:rsidP="00370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1" w:type="dxa"/>
          </w:tcPr>
          <w:p w:rsidR="004B1612" w:rsidRPr="00D2167F" w:rsidRDefault="004B1612" w:rsidP="00370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536" w:type="dxa"/>
          </w:tcPr>
          <w:p w:rsidR="004B1612" w:rsidRPr="00D2167F" w:rsidRDefault="004B1612" w:rsidP="00370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1612" w:rsidRPr="00D2167F" w:rsidTr="00641586">
        <w:tc>
          <w:tcPr>
            <w:tcW w:w="14850" w:type="dxa"/>
            <w:gridSpan w:val="4"/>
            <w:shd w:val="clear" w:color="auto" w:fill="D9D9D9"/>
          </w:tcPr>
          <w:p w:rsidR="004B1612" w:rsidRPr="00D2167F" w:rsidRDefault="00C30D2F" w:rsidP="00C30D2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B16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отрасли переработки отходов и повторного производства</w:t>
            </w:r>
          </w:p>
        </w:tc>
      </w:tr>
      <w:tr w:rsidR="00423BC9" w:rsidRPr="00D2167F" w:rsidTr="00641586">
        <w:tc>
          <w:tcPr>
            <w:tcW w:w="653" w:type="dxa"/>
          </w:tcPr>
          <w:p w:rsidR="004B1612" w:rsidRPr="00D2167F" w:rsidRDefault="004B1612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4B1612" w:rsidRPr="00D2167F" w:rsidRDefault="004B1612" w:rsidP="00B35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оставить </w:t>
            </w:r>
            <w:r w:rsidR="00B352F2">
              <w:rPr>
                <w:rFonts w:ascii="Times New Roman" w:eastAsia="Calibri" w:hAnsi="Times New Roman" w:cs="Times New Roman"/>
                <w:sz w:val="24"/>
                <w:szCs w:val="24"/>
              </w:rPr>
              <w:t>общедоступный</w:t>
            </w:r>
            <w:r w:rsidR="009D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реестр предприятий по утилизации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отходов,</w:t>
            </w:r>
            <w:r w:rsidR="000D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собственного производства,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изготовлению продукции из вторичного сырья</w:t>
            </w:r>
            <w:r w:rsidR="009D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видов экономической деятельности, видов продукции</w:t>
            </w:r>
            <w:r w:rsidR="00B35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контактных данных. Обеспечить его ежегодное обновление.</w:t>
            </w:r>
          </w:p>
        </w:tc>
        <w:tc>
          <w:tcPr>
            <w:tcW w:w="2161" w:type="dxa"/>
          </w:tcPr>
          <w:p w:rsidR="004B1612" w:rsidRDefault="004B1612" w:rsidP="00370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</w:t>
            </w:r>
            <w:r w:rsidR="000422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4B1612" w:rsidRPr="00D2167F" w:rsidRDefault="004B1612" w:rsidP="00370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12" w:rsidRPr="00D2167F" w:rsidRDefault="009E72B0" w:rsidP="009E7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B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4B1612" w:rsidRPr="00D2167F" w:rsidRDefault="004B1612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4B1612" w:rsidRPr="00D2167F" w:rsidRDefault="004B1612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в перечень критериев для присвоения статуса особо значимых инвестиционных проектов следующие виды экономической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</w:t>
            </w:r>
            <w:proofErr w:type="gramStart"/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подкласс 38.2</w:t>
            </w:r>
            <w:r w:rsidRPr="00D2167F"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утилизация отходов», 38.32 «Утилизация отсортированных материалов»</w:t>
            </w:r>
          </w:p>
        </w:tc>
        <w:tc>
          <w:tcPr>
            <w:tcW w:w="2161" w:type="dxa"/>
          </w:tcPr>
          <w:p w:rsidR="004B1612" w:rsidRPr="00D2167F" w:rsidRDefault="004B1612" w:rsidP="00DA7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5625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7A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6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B1612" w:rsidRPr="00D2167F" w:rsidRDefault="004B1612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  <w:p w:rsidR="004B1612" w:rsidRPr="00D2167F" w:rsidRDefault="004B1612" w:rsidP="009E7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9E7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 и цикличной экономики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4B1612" w:rsidRPr="00D2167F" w:rsidRDefault="004B1612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4B1612" w:rsidRPr="00D2167F" w:rsidRDefault="004B1612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Проработать вопрос привлечения инвесторов, осуществляющих деятельность в сфере переработки отходов и изготовления продукции из вторичного сырья</w:t>
            </w:r>
          </w:p>
        </w:tc>
        <w:tc>
          <w:tcPr>
            <w:tcW w:w="2161" w:type="dxa"/>
          </w:tcPr>
          <w:p w:rsidR="004B1612" w:rsidRDefault="00B352F2" w:rsidP="00562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DA7A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161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B1612" w:rsidRDefault="004B1612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«Корпорация развития Ульяновской области»</w:t>
            </w:r>
          </w:p>
          <w:p w:rsidR="004B1612" w:rsidRPr="00D2167F" w:rsidRDefault="009E72B0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B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</w:tr>
      <w:tr w:rsidR="00324799" w:rsidRPr="00D2167F" w:rsidTr="00641586">
        <w:tc>
          <w:tcPr>
            <w:tcW w:w="653" w:type="dxa"/>
          </w:tcPr>
          <w:p w:rsidR="00324799" w:rsidRPr="00D2167F" w:rsidRDefault="00324799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324799" w:rsidRDefault="00324799" w:rsidP="00324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Внести изменения в закон Ульяновской области от 30.03.2009 № 13-ЗО «О налоговых ставках налога</w:t>
            </w:r>
            <w:r w:rsidRPr="00324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взимаемого в связи с </w:t>
            </w:r>
            <w:r w:rsidRPr="0032479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упрощенной системы налогообложения, на территории Ульяновской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части применения пониженной или нулевой ставки для</w:t>
            </w:r>
            <w:r w:rsidR="0056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налогоплательщиков, осуществляющих следующие виды экономической деятельности: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38.2 «Обработка и утилизация </w:t>
            </w:r>
            <w:r w:rsidRPr="003247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отходов», 38.32 «Утилизация отсортированных материалов»</w:t>
            </w:r>
          </w:p>
        </w:tc>
        <w:tc>
          <w:tcPr>
            <w:tcW w:w="2161" w:type="dxa"/>
          </w:tcPr>
          <w:p w:rsidR="00324799" w:rsidRDefault="00DA7AE3" w:rsidP="00DA7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4536" w:type="dxa"/>
          </w:tcPr>
          <w:p w:rsidR="00324799" w:rsidRDefault="00DA7AE3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  <w:p w:rsidR="00DA7AE3" w:rsidRDefault="00DA7AE3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4B1612" w:rsidRPr="00D2167F" w:rsidRDefault="004B1612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4B1612" w:rsidRPr="00D2167F" w:rsidRDefault="004B1612" w:rsidP="006862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</w:t>
            </w:r>
            <w:r w:rsidR="00B35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 правовой акт, предусматривающий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</w:t>
            </w:r>
            <w:r w:rsidR="00B352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в целях возмещения затрат, связанных с приобретением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внедрением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 по переработке и рециркуляции отходов собственного производства </w:t>
            </w:r>
          </w:p>
        </w:tc>
        <w:tc>
          <w:tcPr>
            <w:tcW w:w="2161" w:type="dxa"/>
          </w:tcPr>
          <w:p w:rsidR="004B1612" w:rsidRPr="00D2167F" w:rsidRDefault="004B1612" w:rsidP="00321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6862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1D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862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B1612" w:rsidRPr="00D2167F" w:rsidRDefault="009E72B0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B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3706A3" w:rsidRPr="00D2167F" w:rsidRDefault="003706A3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3706A3" w:rsidRDefault="003706A3" w:rsidP="00324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Рекомендовать </w:t>
            </w:r>
            <w:r w:rsidR="000C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3706A3">
              <w:rPr>
                <w:rFonts w:ascii="Times New Roman" w:eastAsia="Calibri" w:hAnsi="Times New Roman" w:cs="Times New Roman"/>
                <w:sz w:val="24"/>
                <w:szCs w:val="24"/>
              </w:rPr>
              <w:t>льгот по налогу на землю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="0086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льготный размер арендной платы за землю </w:t>
            </w:r>
            <w:r w:rsidR="003249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осуществляющим обработку и утилизацию отходов, утилизацию отсортированных материалов, производство продукции из вторсырья</w:t>
            </w:r>
            <w:r w:rsidRPr="0037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период становления предприятия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914">
              <w:rPr>
                <w:rFonts w:ascii="Times New Roman" w:eastAsia="Calibri" w:hAnsi="Times New Roman" w:cs="Times New Roman"/>
                <w:sz w:val="24"/>
                <w:szCs w:val="24"/>
              </w:rPr>
              <w:t>сроком на 5 лет</w:t>
            </w:r>
          </w:p>
        </w:tc>
        <w:tc>
          <w:tcPr>
            <w:tcW w:w="2161" w:type="dxa"/>
          </w:tcPr>
          <w:p w:rsidR="003706A3" w:rsidRDefault="00324914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536" w:type="dxa"/>
          </w:tcPr>
          <w:p w:rsidR="003706A3" w:rsidRPr="00D2167F" w:rsidRDefault="003706A3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06A3">
              <w:rPr>
                <w:rFonts w:ascii="Times New Roman" w:eastAsia="Calibri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7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образований Ульяновской</w:t>
            </w:r>
            <w:r w:rsidR="0032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</w:tr>
      <w:tr w:rsidR="00B86972" w:rsidRPr="00D2167F" w:rsidTr="00641586">
        <w:tc>
          <w:tcPr>
            <w:tcW w:w="653" w:type="dxa"/>
          </w:tcPr>
          <w:p w:rsidR="00B86972" w:rsidRPr="00D2167F" w:rsidRDefault="00B86972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B86972" w:rsidRDefault="00B86972" w:rsidP="000E3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правовой акт, предусматривающий возмещение части </w:t>
            </w:r>
            <w:r w:rsidR="000E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 на транспортировку (доставку)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отходов и вторичных материальных ресурсов, являющихся сырьём для производства продукции, а также готовой продукции, произведённой из вторичных материальных ресурсов</w:t>
            </w:r>
          </w:p>
        </w:tc>
        <w:tc>
          <w:tcPr>
            <w:tcW w:w="2161" w:type="dxa"/>
          </w:tcPr>
          <w:p w:rsidR="00B86972" w:rsidRDefault="00321DC3" w:rsidP="00321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E3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E37DD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6" w:type="dxa"/>
          </w:tcPr>
          <w:p w:rsidR="00B86972" w:rsidRDefault="00D54AD6" w:rsidP="00B86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AD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  <w:p w:rsidR="00D54AD6" w:rsidRPr="00C30D2F" w:rsidRDefault="00D54AD6" w:rsidP="00B86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BC9" w:rsidRPr="00D2167F" w:rsidTr="00641586">
        <w:tc>
          <w:tcPr>
            <w:tcW w:w="653" w:type="dxa"/>
          </w:tcPr>
          <w:p w:rsidR="00AE5E3A" w:rsidRPr="00D2167F" w:rsidRDefault="00AE5E3A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AE5E3A" w:rsidRDefault="00AE5E3A" w:rsidP="00AE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поддержку исследований и разработок в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ресурсосбережения, имеющих значение для «зелёного роста для отраслей экономики Ульяновской области. </w:t>
            </w:r>
            <w:r w:rsidR="00B7705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включать данное направление в перечень приоритетных тем научных исследований Российского фонда фундаментальных исследований.</w:t>
            </w:r>
          </w:p>
        </w:tc>
        <w:tc>
          <w:tcPr>
            <w:tcW w:w="2161" w:type="dxa"/>
          </w:tcPr>
          <w:p w:rsidR="00AE5E3A" w:rsidRDefault="00B7705D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AE5E3A" w:rsidRPr="00C30D2F" w:rsidRDefault="00B7705D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617AE4" w:rsidRPr="00D2167F" w:rsidRDefault="00617AE4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B95E75" w:rsidRDefault="00B95E75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</w:t>
            </w:r>
            <w:r w:rsidR="00350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апробации внедрения системы раздельного сбора мусора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95E75" w:rsidRDefault="00B95E75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 закрепить </w:t>
            </w:r>
            <w:r w:rsidRPr="00B95E75">
              <w:rPr>
                <w:rFonts w:ascii="Times New Roman" w:eastAsia="Calibri" w:hAnsi="Times New Roman" w:cs="Times New Roman"/>
                <w:sz w:val="24"/>
                <w:szCs w:val="24"/>
              </w:rPr>
              <w:t>нормы–задания по доле отходов, которые должны быть собраны раздельно и направлены на перера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ботку с их ежегодным повышением;</w:t>
            </w:r>
          </w:p>
          <w:p w:rsidR="00B95E75" w:rsidRDefault="00B95E75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оснастить места сбора мусора контейнерами для раздельного сбора;</w:t>
            </w:r>
          </w:p>
          <w:p w:rsidR="00350840" w:rsidRDefault="00350840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E75" w:rsidRPr="00B95E75" w:rsidRDefault="00B95E75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B95E75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информирование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раздельного сбора мусора</w:t>
            </w:r>
            <w:r w:rsidRPr="00B9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17AE4" w:rsidRDefault="00617AE4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17AE4" w:rsidRDefault="00617AE4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840" w:rsidRDefault="00350840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E75" w:rsidRDefault="00B95E75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  <w:p w:rsidR="00350840" w:rsidRDefault="00350840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840" w:rsidRDefault="00350840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840" w:rsidRDefault="00350840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2019 - 20</w:t>
            </w:r>
            <w:r w:rsidR="000422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042200" w:rsidRDefault="00042200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840" w:rsidRDefault="00350840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B95E75" w:rsidRDefault="00B95E75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E75" w:rsidRDefault="00B95E75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AE4" w:rsidRDefault="00350840" w:rsidP="00350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23BC9" w:rsidRPr="00D2167F" w:rsidTr="00641586">
        <w:tc>
          <w:tcPr>
            <w:tcW w:w="653" w:type="dxa"/>
          </w:tcPr>
          <w:p w:rsidR="006603B6" w:rsidRPr="00D2167F" w:rsidRDefault="006603B6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6603B6" w:rsidRPr="00D2167F" w:rsidRDefault="006603B6" w:rsidP="006415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Произвести предварительный расчёт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(пониженных)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тарифов на сортируемый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(раздельный)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населения, оценку экономической целесообразности применения дифференцированных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тарифов</w:t>
            </w:r>
          </w:p>
        </w:tc>
        <w:tc>
          <w:tcPr>
            <w:tcW w:w="2161" w:type="dxa"/>
          </w:tcPr>
          <w:p w:rsidR="006603B6" w:rsidRPr="00D2167F" w:rsidRDefault="006603B6" w:rsidP="00641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01.12.2019</w:t>
            </w:r>
          </w:p>
        </w:tc>
        <w:tc>
          <w:tcPr>
            <w:tcW w:w="4536" w:type="dxa"/>
          </w:tcPr>
          <w:p w:rsidR="006603B6" w:rsidRPr="00D2167F" w:rsidRDefault="006603B6" w:rsidP="006415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6603B6" w:rsidRPr="00D2167F" w:rsidRDefault="006603B6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6603B6" w:rsidRDefault="006603B6" w:rsidP="00B9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внедрить систему раздельного сбора мусора</w:t>
            </w:r>
            <w:r w:rsidR="0069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  <w:tc>
          <w:tcPr>
            <w:tcW w:w="2161" w:type="dxa"/>
          </w:tcPr>
          <w:p w:rsidR="006603B6" w:rsidRDefault="006603B6" w:rsidP="003C1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– 2030 годы</w:t>
            </w:r>
          </w:p>
        </w:tc>
        <w:tc>
          <w:tcPr>
            <w:tcW w:w="4536" w:type="dxa"/>
          </w:tcPr>
          <w:p w:rsidR="006603B6" w:rsidRDefault="006603B6" w:rsidP="00660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Ульяновской области</w:t>
            </w:r>
          </w:p>
        </w:tc>
      </w:tr>
      <w:tr w:rsidR="006603B6" w:rsidRPr="00D2167F" w:rsidTr="00641586">
        <w:tc>
          <w:tcPr>
            <w:tcW w:w="14850" w:type="dxa"/>
            <w:gridSpan w:val="4"/>
            <w:shd w:val="clear" w:color="auto" w:fill="D5D5D5"/>
          </w:tcPr>
          <w:p w:rsidR="006603B6" w:rsidRPr="00D2167F" w:rsidRDefault="006603B6" w:rsidP="00A466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Pr="00D216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Стимулирование </w:t>
            </w:r>
            <w:r w:rsidR="00856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развития распределённой энергетики на основе возобновляемых источников энергии</w:t>
            </w:r>
          </w:p>
        </w:tc>
      </w:tr>
      <w:tr w:rsidR="00423BC9" w:rsidRPr="00D2167F" w:rsidTr="00641586">
        <w:tc>
          <w:tcPr>
            <w:tcW w:w="653" w:type="dxa"/>
          </w:tcPr>
          <w:p w:rsidR="00DB0BBC" w:rsidRPr="00D2167F" w:rsidRDefault="00DB0BBC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B0BBC" w:rsidRPr="00DB0BBC" w:rsidRDefault="00ED0E4B" w:rsidP="00C0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Выстроить систему информирования населен</w:t>
            </w:r>
            <w:r w:rsidR="00746A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хозяйствующих субъектов </w:t>
            </w:r>
            <w:r w:rsidRPr="00ED0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новых доступных технологиях выработки энергии из </w:t>
            </w:r>
            <w:r w:rsidR="00C0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возобновляемых </w:t>
            </w:r>
            <w:r w:rsidRPr="00ED0E4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</w:t>
            </w:r>
            <w:r w:rsidR="00C0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 (далее – ВИЭ)</w:t>
            </w:r>
            <w:r w:rsidR="00746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D0E4B">
              <w:rPr>
                <w:rFonts w:ascii="Times New Roman" w:eastAsia="Calibri" w:hAnsi="Times New Roman" w:cs="Times New Roman"/>
                <w:sz w:val="24"/>
                <w:szCs w:val="24"/>
              </w:rPr>
              <w:t>об изменени</w:t>
            </w:r>
            <w:r w:rsidR="00A466C8">
              <w:rPr>
                <w:rFonts w:ascii="Times New Roman" w:eastAsia="Calibri" w:hAnsi="Times New Roman" w:cs="Times New Roman"/>
                <w:sz w:val="24"/>
                <w:szCs w:val="24"/>
              </w:rPr>
              <w:t>ях в законодательстве</w:t>
            </w:r>
            <w:r w:rsidR="00C15AB7">
              <w:rPr>
                <w:rFonts w:ascii="Times New Roman" w:eastAsia="Calibri" w:hAnsi="Times New Roman" w:cs="Times New Roman"/>
                <w:sz w:val="24"/>
                <w:szCs w:val="24"/>
              </w:rPr>
              <w:t>, преференциях и мерах стимулирования развития</w:t>
            </w:r>
            <w:r w:rsidR="00C0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ВИЭ</w:t>
            </w:r>
            <w:r w:rsidR="00A46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оказывать консультационную поддержку, сопровождение проектов </w:t>
            </w:r>
            <w:r w:rsidR="00C07878">
              <w:rPr>
                <w:rFonts w:ascii="Times New Roman" w:eastAsia="Calibri" w:hAnsi="Times New Roman" w:cs="Times New Roman"/>
                <w:sz w:val="24"/>
                <w:szCs w:val="24"/>
              </w:rPr>
              <w:t>ВИЭ</w:t>
            </w:r>
            <w:r w:rsidRPr="00ED0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1" w:type="dxa"/>
          </w:tcPr>
          <w:p w:rsidR="00DB0BBC" w:rsidRDefault="00746AFB" w:rsidP="00F4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="00F42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6" w:type="dxa"/>
          </w:tcPr>
          <w:p w:rsidR="00DB0BBC" w:rsidRPr="00D2167F" w:rsidRDefault="00746AFB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AFB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6603B6" w:rsidRPr="00D2167F" w:rsidRDefault="006603B6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DB0BBC" w:rsidRDefault="00856772" w:rsidP="00DB0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Включить мероприятия по субсидированию части затрат </w:t>
            </w:r>
            <w:r w:rsidR="006603B6" w:rsidRPr="00DB0BBC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 на приобретение оборудования, производящего энергию от</w:t>
            </w:r>
            <w:r w:rsidR="00C0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ВИЭ</w:t>
            </w:r>
            <w:r w:rsidR="006603B6" w:rsidRPr="00DB0B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D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</w:t>
            </w:r>
            <w:r w:rsidR="00D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жилищно-коммунального хозяйства и повышение энергетической эффективности  в Ульяновской огласит» на 2014-2020 годы. </w:t>
            </w:r>
            <w:proofErr w:type="gramEnd"/>
          </w:p>
          <w:p w:rsidR="006603B6" w:rsidRPr="00D2167F" w:rsidRDefault="00DB0BBC" w:rsidP="00DB0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финансирование данных мероприятий по субсидированию.</w:t>
            </w:r>
          </w:p>
        </w:tc>
        <w:tc>
          <w:tcPr>
            <w:tcW w:w="2161" w:type="dxa"/>
          </w:tcPr>
          <w:p w:rsidR="006603B6" w:rsidRPr="00D2167F" w:rsidRDefault="006603B6" w:rsidP="00C07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C078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DB0B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603B6" w:rsidRPr="00D2167F" w:rsidRDefault="006603B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промышленности, строительства, ЖКК и транспорта Ульяновской области </w:t>
            </w:r>
          </w:p>
          <w:p w:rsidR="006603B6" w:rsidRPr="00D2167F" w:rsidRDefault="006603B6" w:rsidP="00DB0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D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Ульяновской области</w:t>
            </w:r>
          </w:p>
        </w:tc>
      </w:tr>
      <w:tr w:rsidR="000B474A" w:rsidRPr="00D2167F" w:rsidTr="00641586">
        <w:tc>
          <w:tcPr>
            <w:tcW w:w="653" w:type="dxa"/>
          </w:tcPr>
          <w:p w:rsidR="000B474A" w:rsidRPr="00D2167F" w:rsidRDefault="000B474A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0B474A" w:rsidRPr="00DB0BBC" w:rsidRDefault="000B474A" w:rsidP="000B4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</w:t>
            </w:r>
            <w:r w:rsidRPr="000B474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4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Министерство энергетики Российской Федерации о внесении изменений в действующее законодательство об электроэнергетике, предусматривающих предоставление возможности физическим лицам реализации излишков электроэнергии, вырабатываемой от объектов ВИЭ, в сети общего пользования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r w:rsidRPr="000B474A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0B4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«зелёной» энергии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частными домовладениями</w:t>
            </w:r>
            <w:r w:rsidRPr="000B47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B474A" w:rsidRDefault="000B474A" w:rsidP="000B4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4536" w:type="dxa"/>
          </w:tcPr>
          <w:p w:rsidR="000B474A" w:rsidRPr="00D2167F" w:rsidRDefault="000B474A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4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6603B6" w:rsidRPr="00D2167F" w:rsidTr="00641586">
        <w:tc>
          <w:tcPr>
            <w:tcW w:w="14850" w:type="dxa"/>
            <w:gridSpan w:val="4"/>
            <w:shd w:val="clear" w:color="auto" w:fill="D9D9D9"/>
          </w:tcPr>
          <w:p w:rsidR="006603B6" w:rsidRPr="00D2167F" w:rsidRDefault="006603B6" w:rsidP="00F42C9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4" w:name="_Hlk506464200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</w:t>
            </w:r>
            <w:r w:rsidR="00977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эко</w:t>
            </w:r>
            <w:r w:rsidR="00F42C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логически чистого </w:t>
            </w:r>
            <w:r w:rsidR="00977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транспорта</w:t>
            </w:r>
          </w:p>
        </w:tc>
      </w:tr>
      <w:bookmarkEnd w:id="4"/>
      <w:tr w:rsidR="00423BC9" w:rsidRPr="00D2167F" w:rsidTr="00641586">
        <w:tc>
          <w:tcPr>
            <w:tcW w:w="653" w:type="dxa"/>
          </w:tcPr>
          <w:p w:rsidR="006603B6" w:rsidRPr="00D2167F" w:rsidRDefault="006603B6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6603B6" w:rsidRPr="00D2167F" w:rsidRDefault="00BF2194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Рекомендовать принять правовые акты, предусматривающие  предоставление дополнительных преимуществ организациям-перевозчикам, использующим транспортные средства, работающие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газо-моторном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топливе на областном и муниципальном уровне</w:t>
            </w:r>
          </w:p>
        </w:tc>
        <w:tc>
          <w:tcPr>
            <w:tcW w:w="2161" w:type="dxa"/>
          </w:tcPr>
          <w:p w:rsidR="006603B6" w:rsidRPr="00D2167F" w:rsidRDefault="00C07878" w:rsidP="00F4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6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2C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22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F42C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603B6" w:rsidRDefault="006603B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  <w:p w:rsidR="00BF2194" w:rsidRPr="00D2167F" w:rsidRDefault="00BF2194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6603B6" w:rsidRPr="00D2167F" w:rsidRDefault="006603B6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6603B6" w:rsidRPr="00D2167F" w:rsidRDefault="00BF2194" w:rsidP="00CE2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нормативный правовой акт, </w:t>
            </w:r>
            <w:r w:rsidR="005A0907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</w:t>
            </w:r>
            <w:r w:rsidR="005A090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уплаты транспортного налога владельцев </w:t>
            </w:r>
            <w:r w:rsidR="005A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электромобилей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сроком на 5 лет</w:t>
            </w:r>
          </w:p>
        </w:tc>
        <w:tc>
          <w:tcPr>
            <w:tcW w:w="2161" w:type="dxa"/>
          </w:tcPr>
          <w:p w:rsidR="006603B6" w:rsidRPr="00D2167F" w:rsidRDefault="00C07878" w:rsidP="00C07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  <w:r w:rsidR="0066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6603B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36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03B6" w:rsidRPr="00D2167F" w:rsidRDefault="006603B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промышленности, строительства, ЖКК и транспорта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5A0907" w:rsidRPr="00D2167F" w:rsidRDefault="005A0907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5A0907" w:rsidRDefault="00736C00" w:rsidP="0073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нормативный правовой акт, предусматривающий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льготы </w:t>
            </w:r>
            <w:r w:rsidRPr="00736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владельцев и операторов зарядной инфраструктуры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налогу на имущество</w:t>
            </w:r>
          </w:p>
          <w:p w:rsidR="009D475E" w:rsidRDefault="009D475E" w:rsidP="00736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A0907" w:rsidRDefault="00F42C95" w:rsidP="00221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221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36C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214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4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A0907" w:rsidRPr="00D2167F" w:rsidRDefault="0064158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5A0907" w:rsidRPr="00D2167F" w:rsidRDefault="005A0907" w:rsidP="004B1612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:rsidR="005A0907" w:rsidRDefault="005A0907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нормативный правовой акт, предусматривающий возмещение части затрат организациям-перевозчикам на </w:t>
            </w:r>
            <w:r w:rsidR="00977C0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электробусов</w:t>
            </w:r>
          </w:p>
        </w:tc>
        <w:tc>
          <w:tcPr>
            <w:tcW w:w="2161" w:type="dxa"/>
          </w:tcPr>
          <w:p w:rsidR="005A0907" w:rsidRDefault="00F42C95" w:rsidP="00221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221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2214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4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A0907" w:rsidRPr="00D2167F" w:rsidRDefault="0064158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8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423BC9" w:rsidRPr="00D2167F" w:rsidTr="00916DA9">
        <w:tc>
          <w:tcPr>
            <w:tcW w:w="653" w:type="dxa"/>
            <w:tcBorders>
              <w:bottom w:val="single" w:sz="4" w:space="0" w:color="auto"/>
            </w:tcBorders>
          </w:tcPr>
          <w:p w:rsidR="00C15AB7" w:rsidRPr="00D2167F" w:rsidRDefault="00C15AB7" w:rsidP="00E85D41">
            <w:pPr>
              <w:numPr>
                <w:ilvl w:val="0"/>
                <w:numId w:val="9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C15AB7" w:rsidRDefault="00C15AB7" w:rsidP="00C15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Выстроить систему информирования представителей бизнеса и населения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преимуществах эко-транспорта,  о развитии соответствующей инфраструктуры, о преференциях и мерах стимулирования развития эко-транспорта на территории Ульяновской области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C15AB7" w:rsidRDefault="006F43C2" w:rsidP="00F42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="00F42C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15AB7" w:rsidRPr="00641586" w:rsidRDefault="00C15AB7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B7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A466C8" w:rsidRPr="00D2167F" w:rsidTr="00916DA9">
        <w:tc>
          <w:tcPr>
            <w:tcW w:w="14850" w:type="dxa"/>
            <w:gridSpan w:val="4"/>
            <w:shd w:val="pct12" w:color="auto" w:fill="auto"/>
          </w:tcPr>
          <w:p w:rsidR="00A466C8" w:rsidRPr="00E85D41" w:rsidRDefault="00A466C8" w:rsidP="00F42C9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5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«зелёного» строительства</w:t>
            </w:r>
          </w:p>
        </w:tc>
      </w:tr>
      <w:tr w:rsidR="00423BC9" w:rsidRPr="00D2167F" w:rsidTr="00641586">
        <w:tc>
          <w:tcPr>
            <w:tcW w:w="653" w:type="dxa"/>
          </w:tcPr>
          <w:p w:rsidR="009D475E" w:rsidRPr="00D2167F" w:rsidRDefault="000B474A" w:rsidP="00423BC9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3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9D475E" w:rsidRDefault="00A466C8" w:rsidP="0012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нормативный правовой 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кт, предусматривающий освобождение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объектов, имеющих высокий класс </w:t>
            </w:r>
            <w:proofErr w:type="spellStart"/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>, от уплаты налога на имущество в течение 3 лет со дня их постановки на учёт</w:t>
            </w:r>
          </w:p>
        </w:tc>
        <w:tc>
          <w:tcPr>
            <w:tcW w:w="2161" w:type="dxa"/>
          </w:tcPr>
          <w:p w:rsidR="009D475E" w:rsidRDefault="00127AB0" w:rsidP="00A5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</w:t>
            </w:r>
            <w:r w:rsidR="00C96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D475E" w:rsidRPr="00641586" w:rsidRDefault="00127AB0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B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A466C8" w:rsidRPr="00423BC9" w:rsidRDefault="00423BC9" w:rsidP="00A5000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A466C8" w:rsidRDefault="00916DA9" w:rsidP="008F1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Выстроить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информирования представителей бизнеса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о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компаниях, </w:t>
            </w:r>
            <w:r w:rsidR="00C15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производящих и 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применяющих экологически чистые материалы и «зелёные» технологии в процессе строительства объектов</w:t>
            </w:r>
            <w:r w:rsidR="00C15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Ульяновской области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>, о преимущества</w:t>
            </w:r>
            <w:r w:rsidR="00C15AB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2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«зелёных» </w:t>
            </w:r>
            <w:r w:rsidR="00C9659E">
              <w:rPr>
                <w:rFonts w:ascii="Times New Roman" w:eastAsia="Calibri" w:hAnsi="Times New Roman" w:cs="Times New Roman"/>
                <w:sz w:val="24"/>
                <w:szCs w:val="24"/>
              </w:rPr>
              <w:t>зданий</w:t>
            </w:r>
            <w:r w:rsidR="008F1694">
              <w:rPr>
                <w:rFonts w:ascii="Times New Roman" w:eastAsia="Calibri" w:hAnsi="Times New Roman" w:cs="Times New Roman"/>
                <w:sz w:val="24"/>
                <w:szCs w:val="24"/>
              </w:rPr>
              <w:t>, о возможности использования вторичных материальных ресурсов, полученных в процессе переработки отходов строительного производства при проведении строительных и дорожно-строительных работ</w:t>
            </w:r>
          </w:p>
        </w:tc>
        <w:tc>
          <w:tcPr>
            <w:tcW w:w="2161" w:type="dxa"/>
          </w:tcPr>
          <w:p w:rsidR="00A466C8" w:rsidRDefault="006F43C2" w:rsidP="00C96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="00C965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6" w:type="dxa"/>
          </w:tcPr>
          <w:p w:rsidR="00A466C8" w:rsidRPr="00641586" w:rsidRDefault="00916DA9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A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F42C95" w:rsidRPr="00D2167F" w:rsidTr="00641586">
        <w:tc>
          <w:tcPr>
            <w:tcW w:w="653" w:type="dxa"/>
          </w:tcPr>
          <w:p w:rsidR="00F42C95" w:rsidRPr="00423BC9" w:rsidRDefault="00C9659E" w:rsidP="00A5000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F42C95" w:rsidRDefault="008F1694" w:rsidP="008F1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типовое соглашение между строительной компанией, осуществляющей переработку строительных отходов до вторичных материальных ресурсов, предоставлять на безвозмездной основе заказчику (органу местного самоуправления, СНТ и др.), расположенному на территории Ульяновской области, вторичный щебень для отсыпки дорог местного значения</w:t>
            </w:r>
            <w:r w:rsidR="007C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условии проведения заказчиком дорожно-строительных работ (разравнивание, укатка и т.д.)</w:t>
            </w:r>
          </w:p>
        </w:tc>
        <w:tc>
          <w:tcPr>
            <w:tcW w:w="2161" w:type="dxa"/>
          </w:tcPr>
          <w:p w:rsidR="00F42C95" w:rsidRDefault="00CB367A" w:rsidP="006F4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536" w:type="dxa"/>
          </w:tcPr>
          <w:p w:rsidR="00F42C95" w:rsidRPr="00916DA9" w:rsidRDefault="00CB367A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67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F42C95" w:rsidRPr="00D2167F" w:rsidTr="00641586">
        <w:tc>
          <w:tcPr>
            <w:tcW w:w="653" w:type="dxa"/>
          </w:tcPr>
          <w:p w:rsidR="00F42C95" w:rsidRPr="00423BC9" w:rsidRDefault="00A50003" w:rsidP="000B474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F42C95" w:rsidRDefault="00A50003" w:rsidP="00A5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формировать перечень объектов (дорог местного значения) для проведения работ по отсыпке вторичным щебнем</w:t>
            </w:r>
          </w:p>
        </w:tc>
        <w:tc>
          <w:tcPr>
            <w:tcW w:w="2161" w:type="dxa"/>
          </w:tcPr>
          <w:p w:rsidR="00F42C95" w:rsidRDefault="00A50003" w:rsidP="006F4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F42C95" w:rsidRPr="00916DA9" w:rsidRDefault="00A50003" w:rsidP="00A5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Ульяновской области</w:t>
            </w:r>
          </w:p>
        </w:tc>
      </w:tr>
      <w:tr w:rsidR="00E71D08" w:rsidRPr="00D2167F" w:rsidTr="00641586">
        <w:tc>
          <w:tcPr>
            <w:tcW w:w="653" w:type="dxa"/>
          </w:tcPr>
          <w:p w:rsidR="00E71D08" w:rsidRDefault="00E71D08" w:rsidP="000B474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E71D08" w:rsidRDefault="00E71D08" w:rsidP="006227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7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ключить </w:t>
            </w:r>
            <w:proofErr w:type="gramStart"/>
            <w:r w:rsidRPr="00E7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обязательного условия для участия в </w:t>
            </w:r>
            <w:r w:rsidR="00622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программах Ульяновской области в сфере строительства </w:t>
            </w:r>
            <w:r w:rsidRPr="00E71D0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обязательной переработки строительных отходов для строительных компаний</w:t>
            </w:r>
            <w:proofErr w:type="gramEnd"/>
            <w:r w:rsidRPr="00E7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участников программ. </w:t>
            </w:r>
          </w:p>
        </w:tc>
        <w:tc>
          <w:tcPr>
            <w:tcW w:w="2161" w:type="dxa"/>
          </w:tcPr>
          <w:p w:rsidR="00E71D08" w:rsidRDefault="00E71D08" w:rsidP="00221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227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46E">
              <w:rPr>
                <w:rFonts w:ascii="Times New Roman" w:eastAsia="Calibri" w:hAnsi="Times New Roman" w:cs="Times New Roman"/>
                <w:sz w:val="24"/>
                <w:szCs w:val="24"/>
              </w:rPr>
              <w:t>– 2030 годы</w:t>
            </w:r>
          </w:p>
        </w:tc>
        <w:tc>
          <w:tcPr>
            <w:tcW w:w="4536" w:type="dxa"/>
          </w:tcPr>
          <w:p w:rsidR="00E71D08" w:rsidRDefault="00E71D08" w:rsidP="00A50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строительства, ЖКК и транспорта Ульяновской области</w:t>
            </w:r>
          </w:p>
        </w:tc>
      </w:tr>
      <w:tr w:rsidR="006603B6" w:rsidRPr="00D2167F" w:rsidTr="00641586">
        <w:tc>
          <w:tcPr>
            <w:tcW w:w="14850" w:type="dxa"/>
            <w:gridSpan w:val="4"/>
            <w:shd w:val="clear" w:color="auto" w:fill="D9D9D9"/>
          </w:tcPr>
          <w:p w:rsidR="006603B6" w:rsidRPr="00D2167F" w:rsidRDefault="00612BEC" w:rsidP="003706A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660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6603B6" w:rsidRPr="00D216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органического сельского хозяйства</w:t>
            </w:r>
          </w:p>
        </w:tc>
      </w:tr>
      <w:tr w:rsidR="00423BC9" w:rsidRPr="00D2167F" w:rsidTr="00641586">
        <w:tc>
          <w:tcPr>
            <w:tcW w:w="653" w:type="dxa"/>
          </w:tcPr>
          <w:p w:rsidR="006603B6" w:rsidRPr="00D2167F" w:rsidRDefault="00423BC9" w:rsidP="000B474A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6603B6" w:rsidRPr="00D2167F" w:rsidRDefault="006603B6" w:rsidP="00E15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6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азработать Порядок </w:t>
            </w:r>
            <w:proofErr w:type="gramStart"/>
            <w:r w:rsidRPr="0076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="009D1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региональных </w:t>
            </w:r>
            <w:r w:rsidRPr="00764AD0">
              <w:rPr>
                <w:rFonts w:ascii="Times New Roman" w:eastAsia="Calibri" w:hAnsi="Times New Roman" w:cs="Times New Roman"/>
                <w:sz w:val="24"/>
                <w:szCs w:val="24"/>
              </w:rPr>
              <w:t>мер государственной поддержки производителей органических продуктов</w:t>
            </w:r>
            <w:proofErr w:type="gramEnd"/>
            <w:r w:rsidRPr="0076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Ульяновской области</w:t>
            </w:r>
            <w:r w:rsidR="00E1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компенсации части затрат производителям органической продукции на сертификацию производства органической продукции и повышенного коэффициента при предоставлении погектарной субсидии для производителей органической продукции в области растениеводства</w:t>
            </w:r>
          </w:p>
        </w:tc>
        <w:tc>
          <w:tcPr>
            <w:tcW w:w="2161" w:type="dxa"/>
          </w:tcPr>
          <w:p w:rsidR="006603B6" w:rsidRPr="00D2167F" w:rsidRDefault="006603B6" w:rsidP="00A5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0422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500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603B6" w:rsidRPr="00D2167F" w:rsidRDefault="00E85D41" w:rsidP="00E8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D4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423BC9" w:rsidRPr="00D2167F" w:rsidTr="00641586">
        <w:tc>
          <w:tcPr>
            <w:tcW w:w="653" w:type="dxa"/>
          </w:tcPr>
          <w:p w:rsidR="006603B6" w:rsidRPr="00D2167F" w:rsidRDefault="00423BC9" w:rsidP="000B474A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6603B6" w:rsidRPr="00D2167F" w:rsidRDefault="002B4035" w:rsidP="002B40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B4035">
              <w:rPr>
                <w:rFonts w:ascii="Times New Roman" w:eastAsia="Calibri" w:hAnsi="Times New Roman" w:cs="Times New Roman"/>
                <w:sz w:val="24"/>
                <w:szCs w:val="24"/>
              </w:rPr>
              <w:t>ривести закон Ульяновской области от 05.07.2013 № 106-ЗО «О мерах государственной поддержки производителей органических продуктов в Ульяновской области» в соответствие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03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B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от 03.08.2018</w:t>
            </w:r>
            <w:r w:rsidRPr="002B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280-ФЗ «Об органической продукции и о внесении изменений в отдельные законодательные акты Российской Федерации»</w:t>
            </w:r>
          </w:p>
        </w:tc>
        <w:tc>
          <w:tcPr>
            <w:tcW w:w="2161" w:type="dxa"/>
          </w:tcPr>
          <w:p w:rsidR="006603B6" w:rsidRPr="00D2167F" w:rsidRDefault="00423BC9" w:rsidP="00A5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B4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500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B40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603B6" w:rsidRPr="00D2167F" w:rsidRDefault="006603B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2B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агропромышленного комплекса и развития сельских территорий </w:t>
            </w:r>
            <w:r w:rsidRPr="00D2167F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Ульяновской области</w:t>
            </w:r>
          </w:p>
          <w:p w:rsidR="006603B6" w:rsidRPr="00D2167F" w:rsidRDefault="006603B6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BC9" w:rsidRPr="00D2167F" w:rsidTr="00641586">
        <w:tc>
          <w:tcPr>
            <w:tcW w:w="653" w:type="dxa"/>
          </w:tcPr>
          <w:p w:rsidR="00423BC9" w:rsidRDefault="00423BC9" w:rsidP="000B474A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423BC9" w:rsidRDefault="00D64B8C" w:rsidP="002B40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реестр потенциальных производителей органической продукции – получателей региональных мер поддержки на территории Ульяновской области для дальнейшего включения в единый государственный реестр</w:t>
            </w:r>
          </w:p>
        </w:tc>
        <w:tc>
          <w:tcPr>
            <w:tcW w:w="2161" w:type="dxa"/>
          </w:tcPr>
          <w:p w:rsidR="00423BC9" w:rsidRDefault="00D64B8C" w:rsidP="00A5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A500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500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59F" w:rsidRPr="0080159F" w:rsidRDefault="0080159F" w:rsidP="0080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9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423BC9" w:rsidRPr="00D2167F" w:rsidRDefault="00423BC9" w:rsidP="0037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BC9" w:rsidRPr="00D2167F" w:rsidTr="00641586">
        <w:tc>
          <w:tcPr>
            <w:tcW w:w="653" w:type="dxa"/>
          </w:tcPr>
          <w:p w:rsidR="00423BC9" w:rsidRDefault="00423BC9" w:rsidP="000B474A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423BC9" w:rsidRDefault="00DC2976" w:rsidP="00DC2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Выстроить систему</w:t>
            </w:r>
            <w:r w:rsidR="00D6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D6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D6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D64B8C">
              <w:rPr>
                <w:rFonts w:ascii="Times New Roman" w:eastAsia="Calibri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D64B8C">
              <w:rPr>
                <w:rFonts w:ascii="Times New Roman" w:eastAsia="Calibri" w:hAnsi="Times New Roman" w:cs="Times New Roman"/>
                <w:sz w:val="24"/>
                <w:szCs w:val="24"/>
              </w:rPr>
              <w:t>, потребителей об изменениях в законодательстве по вопросам развития органического сельского хозяйства, о мерах поддержки производителей органической продукции, о порядке сертификации, о производителях органической продукции в Ульяновской области,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производимых ими органических продуктах и их преимуществах</w:t>
            </w:r>
          </w:p>
        </w:tc>
        <w:tc>
          <w:tcPr>
            <w:tcW w:w="2161" w:type="dxa"/>
          </w:tcPr>
          <w:p w:rsidR="00423BC9" w:rsidRDefault="009D15F9" w:rsidP="009D1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 w:rsidR="00DC2976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6" w:type="dxa"/>
          </w:tcPr>
          <w:p w:rsidR="0080159F" w:rsidRDefault="0080159F" w:rsidP="0080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9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  <w:p w:rsidR="00423BC9" w:rsidRPr="00D2167F" w:rsidRDefault="009D15F9" w:rsidP="009D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экспорта Ульяновской области Фонда «Корпорация по развитию предпринимательства Ульяновской области»</w:t>
            </w:r>
          </w:p>
        </w:tc>
      </w:tr>
      <w:tr w:rsidR="00DC2976" w:rsidRPr="00D2167F" w:rsidTr="0080159F">
        <w:tc>
          <w:tcPr>
            <w:tcW w:w="653" w:type="dxa"/>
            <w:tcBorders>
              <w:bottom w:val="single" w:sz="4" w:space="0" w:color="auto"/>
            </w:tcBorders>
          </w:tcPr>
          <w:p w:rsidR="00DC2976" w:rsidRDefault="00DC2976" w:rsidP="000B474A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7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D57E59" w:rsidRDefault="00D57E59" w:rsidP="00DC2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r w:rsidR="00DC2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экспортную поддержку производителей органической продукции: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976" w:rsidRDefault="00D57E59" w:rsidP="00DC2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создать систему информационной поддержки производителей органической продукции, ориентированных на экспорт;</w:t>
            </w:r>
          </w:p>
          <w:p w:rsidR="00D57E59" w:rsidRDefault="00D57E59" w:rsidP="00DC29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систему продвижения предприятий-экспортёров органической продукции за рубежом.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C2976" w:rsidRDefault="00D57E59" w:rsidP="009A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15.01.202</w:t>
            </w:r>
            <w:r w:rsidR="009A5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976" w:rsidRPr="00D2167F" w:rsidRDefault="0080159F" w:rsidP="00CF08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поддержки экспорта Ульяновской области </w:t>
            </w:r>
            <w:r w:rsidR="00CF08D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0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онда «Корпорация по развитию </w:t>
            </w:r>
            <w:r w:rsidRPr="0080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</w:t>
            </w:r>
            <w:r w:rsidR="00CF08D7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 Ульяновской области»</w:t>
            </w:r>
          </w:p>
        </w:tc>
      </w:tr>
      <w:tr w:rsidR="0080159F" w:rsidRPr="00D2167F" w:rsidTr="0080159F">
        <w:tc>
          <w:tcPr>
            <w:tcW w:w="14850" w:type="dxa"/>
            <w:gridSpan w:val="4"/>
            <w:shd w:val="pct12" w:color="auto" w:fill="auto"/>
          </w:tcPr>
          <w:p w:rsidR="0080159F" w:rsidRPr="0080159F" w:rsidRDefault="0080159F" w:rsidP="0080159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1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Формирование экологической культуры населения</w:t>
            </w:r>
          </w:p>
        </w:tc>
      </w:tr>
      <w:tr w:rsidR="00A718E1" w:rsidRPr="00D2167F" w:rsidTr="00641586">
        <w:tc>
          <w:tcPr>
            <w:tcW w:w="653" w:type="dxa"/>
          </w:tcPr>
          <w:p w:rsidR="00A718E1" w:rsidRDefault="000B474A" w:rsidP="006C134F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13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18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A718E1" w:rsidRPr="00617AFE" w:rsidRDefault="00A718E1" w:rsidP="00FC2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экологические критерии, составить публичный реестр производителей и список «зелёных» товаров, создать условия для доступа широкого круга лиц к данной информации</w:t>
            </w:r>
          </w:p>
        </w:tc>
        <w:tc>
          <w:tcPr>
            <w:tcW w:w="2161" w:type="dxa"/>
          </w:tcPr>
          <w:p w:rsidR="00A718E1" w:rsidRDefault="00A718E1" w:rsidP="00A71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01.10. 2019</w:t>
            </w:r>
          </w:p>
        </w:tc>
        <w:tc>
          <w:tcPr>
            <w:tcW w:w="4536" w:type="dxa"/>
          </w:tcPr>
          <w:p w:rsidR="00A718E1" w:rsidRDefault="00A718E1" w:rsidP="00FC2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циклической экономики Ульяновской области</w:t>
            </w:r>
          </w:p>
          <w:p w:rsidR="00227357" w:rsidRDefault="00227357" w:rsidP="00FC2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агропромышленного комплекса и развития сельски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Ульяновской области</w:t>
            </w:r>
          </w:p>
          <w:p w:rsidR="00227357" w:rsidRPr="00D2167F" w:rsidRDefault="00227357" w:rsidP="00FC2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промышленности, строительства ЖКК и транспорта Ульяновской области</w:t>
            </w:r>
          </w:p>
        </w:tc>
      </w:tr>
      <w:tr w:rsidR="00A718E1" w:rsidRPr="00D2167F" w:rsidTr="00641586">
        <w:tc>
          <w:tcPr>
            <w:tcW w:w="653" w:type="dxa"/>
          </w:tcPr>
          <w:p w:rsidR="00A718E1" w:rsidRDefault="000B474A" w:rsidP="006C134F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13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18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A718E1" w:rsidRPr="00617AFE" w:rsidRDefault="00227357" w:rsidP="002273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r w:rsidR="00A718E1" w:rsidRPr="00617A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A718E1" w:rsidRPr="00617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718E1" w:rsidRPr="00617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населением и бизнесом о принципах «зелёной» экономики, «зелёных» технологиях и экологически чистых материалах, о производителях «зелёных» товаров, о пользе «зелёной», органической продукции для здоровья человека, о «зелёных» инновациях в обрабатывающем производстве, сельском хозяйстве, транспорте, строительстве, об эффективности использования возобновляемых (альтернативные) источников энергии, о необходимости ответственного, экономного отношения к использованию ресурсов, раздельному сбору мусора, о лучших практиках</w:t>
            </w:r>
            <w:proofErr w:type="gramEnd"/>
            <w:r w:rsidR="00A718E1" w:rsidRPr="00617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перехода к «зелёной» экономике</w:t>
            </w:r>
          </w:p>
        </w:tc>
        <w:tc>
          <w:tcPr>
            <w:tcW w:w="2161" w:type="dxa"/>
          </w:tcPr>
          <w:p w:rsidR="00A718E1" w:rsidRPr="00D2167F" w:rsidRDefault="0022146E" w:rsidP="00227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718E1" w:rsidRPr="00D2167F" w:rsidRDefault="00A718E1" w:rsidP="00DE5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5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циклической экономики Ульяновской области</w:t>
            </w:r>
          </w:p>
        </w:tc>
      </w:tr>
      <w:tr w:rsidR="00EE563B" w:rsidRPr="00D2167F" w:rsidTr="00641586">
        <w:tc>
          <w:tcPr>
            <w:tcW w:w="653" w:type="dxa"/>
          </w:tcPr>
          <w:p w:rsidR="00EE563B" w:rsidRDefault="00EE563B" w:rsidP="006C134F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13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EE563B" w:rsidRPr="00617AFE" w:rsidRDefault="00EE563B" w:rsidP="00FC2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Внести предложения по введению предмета «Экология» в общеобразовательные организации Ульяновской области с 5 класса</w:t>
            </w:r>
          </w:p>
        </w:tc>
        <w:tc>
          <w:tcPr>
            <w:tcW w:w="2161" w:type="dxa"/>
          </w:tcPr>
          <w:p w:rsidR="00EE563B" w:rsidRDefault="00EE563B" w:rsidP="00FC2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536" w:type="dxa"/>
          </w:tcPr>
          <w:p w:rsidR="00EE563B" w:rsidRDefault="00EE563B" w:rsidP="00FC2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</w:p>
        </w:tc>
      </w:tr>
      <w:tr w:rsidR="00EE563B" w:rsidRPr="00D2167F" w:rsidTr="00641586">
        <w:tc>
          <w:tcPr>
            <w:tcW w:w="653" w:type="dxa"/>
          </w:tcPr>
          <w:p w:rsidR="00EE563B" w:rsidRDefault="00EE563B" w:rsidP="006C134F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13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0" w:type="dxa"/>
          </w:tcPr>
          <w:p w:rsidR="00EE563B" w:rsidRPr="00617AFE" w:rsidRDefault="00227357" w:rsidP="00DE5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ежегодной Поволжской экологической недели отмечать лидеров </w:t>
            </w:r>
            <w:r w:rsidR="00EE563B" w:rsidRPr="00617AFE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номинациях «зелёное» производство», «зелёные» инновации», «зелёная» продукция», «зелёный» двор», «экологическая общественная инициатива»</w:t>
            </w:r>
            <w:proofErr w:type="gramEnd"/>
          </w:p>
        </w:tc>
        <w:tc>
          <w:tcPr>
            <w:tcW w:w="2161" w:type="dxa"/>
          </w:tcPr>
          <w:p w:rsidR="00EE563B" w:rsidRDefault="0022146E" w:rsidP="00DE5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E563B" w:rsidRPr="00A30453" w:rsidRDefault="00EE563B" w:rsidP="00DE5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природы и циклической экономики Ульяновской области</w:t>
            </w:r>
          </w:p>
        </w:tc>
      </w:tr>
    </w:tbl>
    <w:p w:rsidR="004B1612" w:rsidRPr="002F5555" w:rsidRDefault="004B1612" w:rsidP="002F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612" w:rsidRPr="002F5555" w:rsidSect="004B161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22" w:rsidRDefault="00E17122" w:rsidP="00D62094">
      <w:pPr>
        <w:spacing w:after="0" w:line="240" w:lineRule="auto"/>
      </w:pPr>
      <w:r>
        <w:separator/>
      </w:r>
    </w:p>
  </w:endnote>
  <w:endnote w:type="continuationSeparator" w:id="0">
    <w:p w:rsidR="00E17122" w:rsidRDefault="00E17122" w:rsidP="00D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22" w:rsidRDefault="00E17122" w:rsidP="00D62094">
      <w:pPr>
        <w:spacing w:after="0" w:line="240" w:lineRule="auto"/>
      </w:pPr>
      <w:r>
        <w:separator/>
      </w:r>
    </w:p>
  </w:footnote>
  <w:footnote w:type="continuationSeparator" w:id="0">
    <w:p w:rsidR="00E17122" w:rsidRDefault="00E17122" w:rsidP="00D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338617"/>
      <w:docPartObj>
        <w:docPartGallery w:val="Page Numbers (Top of Page)"/>
        <w:docPartUnique/>
      </w:docPartObj>
    </w:sdtPr>
    <w:sdtContent>
      <w:p w:rsidR="00C41266" w:rsidRDefault="00C412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BE">
          <w:rPr>
            <w:noProof/>
          </w:rPr>
          <w:t>35</w:t>
        </w:r>
        <w:r>
          <w:fldChar w:fldCharType="end"/>
        </w:r>
      </w:p>
    </w:sdtContent>
  </w:sdt>
  <w:p w:rsidR="00C41266" w:rsidRDefault="00C41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C446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6346"/>
    <w:multiLevelType w:val="hybridMultilevel"/>
    <w:tmpl w:val="9E70CE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817279"/>
    <w:multiLevelType w:val="hybridMultilevel"/>
    <w:tmpl w:val="AE9ADCDC"/>
    <w:lvl w:ilvl="0" w:tplc="E7D2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6C15"/>
    <w:multiLevelType w:val="hybridMultilevel"/>
    <w:tmpl w:val="9DCE8B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3542B"/>
    <w:multiLevelType w:val="hybridMultilevel"/>
    <w:tmpl w:val="AB1A784E"/>
    <w:lvl w:ilvl="0" w:tplc="7F52DF8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50BE3"/>
    <w:multiLevelType w:val="multilevel"/>
    <w:tmpl w:val="675EF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7C3B2D"/>
    <w:multiLevelType w:val="hybridMultilevel"/>
    <w:tmpl w:val="DFCC36B8"/>
    <w:lvl w:ilvl="0" w:tplc="D2E65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708D4"/>
    <w:multiLevelType w:val="hybridMultilevel"/>
    <w:tmpl w:val="54A46FEC"/>
    <w:lvl w:ilvl="0" w:tplc="25DA8E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E7E10"/>
    <w:multiLevelType w:val="multilevel"/>
    <w:tmpl w:val="10BE8D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0FB69A6"/>
    <w:multiLevelType w:val="hybridMultilevel"/>
    <w:tmpl w:val="B09861C6"/>
    <w:lvl w:ilvl="0" w:tplc="44BC3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12895"/>
    <w:multiLevelType w:val="multilevel"/>
    <w:tmpl w:val="BA2C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2DF06FE"/>
    <w:multiLevelType w:val="hybridMultilevel"/>
    <w:tmpl w:val="11403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13A03"/>
    <w:multiLevelType w:val="multilevel"/>
    <w:tmpl w:val="80CC7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AE2298B"/>
    <w:multiLevelType w:val="multilevel"/>
    <w:tmpl w:val="C4A81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B6B3742"/>
    <w:multiLevelType w:val="hybridMultilevel"/>
    <w:tmpl w:val="F13403FC"/>
    <w:lvl w:ilvl="0" w:tplc="0D04A70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622D42"/>
    <w:multiLevelType w:val="hybridMultilevel"/>
    <w:tmpl w:val="DDB03F0A"/>
    <w:lvl w:ilvl="0" w:tplc="6C80E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7973"/>
    <w:multiLevelType w:val="hybridMultilevel"/>
    <w:tmpl w:val="4D7276D0"/>
    <w:lvl w:ilvl="0" w:tplc="1520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215CE0"/>
    <w:multiLevelType w:val="hybridMultilevel"/>
    <w:tmpl w:val="7250EEDC"/>
    <w:lvl w:ilvl="0" w:tplc="DC985BB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B42658"/>
    <w:multiLevelType w:val="hybridMultilevel"/>
    <w:tmpl w:val="7074915E"/>
    <w:lvl w:ilvl="0" w:tplc="76CE2AC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B93"/>
    <w:multiLevelType w:val="multilevel"/>
    <w:tmpl w:val="BA2C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A3B540C"/>
    <w:multiLevelType w:val="hybridMultilevel"/>
    <w:tmpl w:val="4DCAA1F2"/>
    <w:lvl w:ilvl="0" w:tplc="E7D20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35712A"/>
    <w:multiLevelType w:val="hybridMultilevel"/>
    <w:tmpl w:val="D650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1AE7"/>
    <w:multiLevelType w:val="hybridMultilevel"/>
    <w:tmpl w:val="AD566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C0707"/>
    <w:multiLevelType w:val="hybridMultilevel"/>
    <w:tmpl w:val="013CB9BE"/>
    <w:lvl w:ilvl="0" w:tplc="C456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11C78"/>
    <w:multiLevelType w:val="hybridMultilevel"/>
    <w:tmpl w:val="A9883B54"/>
    <w:lvl w:ilvl="0" w:tplc="DC985BB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1461C"/>
    <w:multiLevelType w:val="multilevel"/>
    <w:tmpl w:val="25DE43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7E043D1B"/>
    <w:multiLevelType w:val="hybridMultilevel"/>
    <w:tmpl w:val="0B1445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E95BBB"/>
    <w:multiLevelType w:val="hybridMultilevel"/>
    <w:tmpl w:val="F9828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9"/>
  </w:num>
  <w:num w:numId="7">
    <w:abstractNumId w:val="23"/>
  </w:num>
  <w:num w:numId="8">
    <w:abstractNumId w:val="7"/>
  </w:num>
  <w:num w:numId="9">
    <w:abstractNumId w:val="27"/>
  </w:num>
  <w:num w:numId="10">
    <w:abstractNumId w:val="3"/>
  </w:num>
  <w:num w:numId="11">
    <w:abstractNumId w:val="2"/>
  </w:num>
  <w:num w:numId="12">
    <w:abstractNumId w:val="20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10"/>
  </w:num>
  <w:num w:numId="18">
    <w:abstractNumId w:val="22"/>
  </w:num>
  <w:num w:numId="19">
    <w:abstractNumId w:val="26"/>
  </w:num>
  <w:num w:numId="20">
    <w:abstractNumId w:val="6"/>
  </w:num>
  <w:num w:numId="21">
    <w:abstractNumId w:val="21"/>
  </w:num>
  <w:num w:numId="22">
    <w:abstractNumId w:val="25"/>
  </w:num>
  <w:num w:numId="23">
    <w:abstractNumId w:val="11"/>
  </w:num>
  <w:num w:numId="24">
    <w:abstractNumId w:val="9"/>
  </w:num>
  <w:num w:numId="25">
    <w:abstractNumId w:val="16"/>
  </w:num>
  <w:num w:numId="26">
    <w:abstractNumId w:val="1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5"/>
    <w:rsid w:val="00000901"/>
    <w:rsid w:val="00001ABE"/>
    <w:rsid w:val="00004020"/>
    <w:rsid w:val="000100B5"/>
    <w:rsid w:val="00010A7B"/>
    <w:rsid w:val="00011B82"/>
    <w:rsid w:val="00014C62"/>
    <w:rsid w:val="00020D78"/>
    <w:rsid w:val="0002104C"/>
    <w:rsid w:val="000245F3"/>
    <w:rsid w:val="000260AD"/>
    <w:rsid w:val="00026DA4"/>
    <w:rsid w:val="00027512"/>
    <w:rsid w:val="0003290A"/>
    <w:rsid w:val="00033BB4"/>
    <w:rsid w:val="0003420F"/>
    <w:rsid w:val="00034FF4"/>
    <w:rsid w:val="0004119C"/>
    <w:rsid w:val="00042200"/>
    <w:rsid w:val="000434A6"/>
    <w:rsid w:val="00045BF5"/>
    <w:rsid w:val="00051791"/>
    <w:rsid w:val="00052B2D"/>
    <w:rsid w:val="00055C10"/>
    <w:rsid w:val="00056ACB"/>
    <w:rsid w:val="00060426"/>
    <w:rsid w:val="00063DCF"/>
    <w:rsid w:val="00064BE1"/>
    <w:rsid w:val="00067A0B"/>
    <w:rsid w:val="000707BF"/>
    <w:rsid w:val="00071B1F"/>
    <w:rsid w:val="00076074"/>
    <w:rsid w:val="000770A8"/>
    <w:rsid w:val="00080898"/>
    <w:rsid w:val="00083998"/>
    <w:rsid w:val="0008465F"/>
    <w:rsid w:val="00084FB4"/>
    <w:rsid w:val="000860EB"/>
    <w:rsid w:val="00087814"/>
    <w:rsid w:val="00087976"/>
    <w:rsid w:val="00091C33"/>
    <w:rsid w:val="000946C6"/>
    <w:rsid w:val="00096288"/>
    <w:rsid w:val="00096509"/>
    <w:rsid w:val="00096739"/>
    <w:rsid w:val="000A060F"/>
    <w:rsid w:val="000A2866"/>
    <w:rsid w:val="000A2AE1"/>
    <w:rsid w:val="000A2CAD"/>
    <w:rsid w:val="000A6180"/>
    <w:rsid w:val="000A62E0"/>
    <w:rsid w:val="000B3876"/>
    <w:rsid w:val="000B42C7"/>
    <w:rsid w:val="000B474A"/>
    <w:rsid w:val="000B543C"/>
    <w:rsid w:val="000B5A4B"/>
    <w:rsid w:val="000B6DED"/>
    <w:rsid w:val="000C1C2B"/>
    <w:rsid w:val="000C4084"/>
    <w:rsid w:val="000C6A3B"/>
    <w:rsid w:val="000C745F"/>
    <w:rsid w:val="000D258A"/>
    <w:rsid w:val="000D570E"/>
    <w:rsid w:val="000D6964"/>
    <w:rsid w:val="000E1D9C"/>
    <w:rsid w:val="000E2554"/>
    <w:rsid w:val="000E37DD"/>
    <w:rsid w:val="000E5400"/>
    <w:rsid w:val="000E6990"/>
    <w:rsid w:val="000E6CA0"/>
    <w:rsid w:val="000F11FE"/>
    <w:rsid w:val="000F1288"/>
    <w:rsid w:val="000F150D"/>
    <w:rsid w:val="000F1F6C"/>
    <w:rsid w:val="000F3CDE"/>
    <w:rsid w:val="001040E1"/>
    <w:rsid w:val="00111926"/>
    <w:rsid w:val="001122A4"/>
    <w:rsid w:val="001241E0"/>
    <w:rsid w:val="00124926"/>
    <w:rsid w:val="00124CEE"/>
    <w:rsid w:val="001268A4"/>
    <w:rsid w:val="00127AB0"/>
    <w:rsid w:val="00130A43"/>
    <w:rsid w:val="00130E36"/>
    <w:rsid w:val="001313CC"/>
    <w:rsid w:val="0013243D"/>
    <w:rsid w:val="0013340F"/>
    <w:rsid w:val="00134C15"/>
    <w:rsid w:val="00135784"/>
    <w:rsid w:val="001367D6"/>
    <w:rsid w:val="00137E6C"/>
    <w:rsid w:val="0014088F"/>
    <w:rsid w:val="0014166E"/>
    <w:rsid w:val="0014398C"/>
    <w:rsid w:val="0014406B"/>
    <w:rsid w:val="00144421"/>
    <w:rsid w:val="0015210E"/>
    <w:rsid w:val="00153169"/>
    <w:rsid w:val="00153D44"/>
    <w:rsid w:val="001542C3"/>
    <w:rsid w:val="00157DBA"/>
    <w:rsid w:val="00165246"/>
    <w:rsid w:val="00165636"/>
    <w:rsid w:val="00170D52"/>
    <w:rsid w:val="00171933"/>
    <w:rsid w:val="001737D8"/>
    <w:rsid w:val="001750CF"/>
    <w:rsid w:val="001763F9"/>
    <w:rsid w:val="001800F2"/>
    <w:rsid w:val="00181FEE"/>
    <w:rsid w:val="00182D3B"/>
    <w:rsid w:val="001833EF"/>
    <w:rsid w:val="0018353F"/>
    <w:rsid w:val="00183844"/>
    <w:rsid w:val="0018518F"/>
    <w:rsid w:val="0019216D"/>
    <w:rsid w:val="00192A16"/>
    <w:rsid w:val="00194AFD"/>
    <w:rsid w:val="00194BC6"/>
    <w:rsid w:val="00195239"/>
    <w:rsid w:val="001968E0"/>
    <w:rsid w:val="001A349E"/>
    <w:rsid w:val="001A3B0E"/>
    <w:rsid w:val="001A3C78"/>
    <w:rsid w:val="001A4498"/>
    <w:rsid w:val="001A49F1"/>
    <w:rsid w:val="001A4CF4"/>
    <w:rsid w:val="001A4FE4"/>
    <w:rsid w:val="001A65F2"/>
    <w:rsid w:val="001A6F79"/>
    <w:rsid w:val="001B04F6"/>
    <w:rsid w:val="001B5F8A"/>
    <w:rsid w:val="001C1887"/>
    <w:rsid w:val="001C45DE"/>
    <w:rsid w:val="001C4D8C"/>
    <w:rsid w:val="001C57E7"/>
    <w:rsid w:val="001C7ED8"/>
    <w:rsid w:val="001D1904"/>
    <w:rsid w:val="001D1937"/>
    <w:rsid w:val="001D3F6F"/>
    <w:rsid w:val="001D4A0D"/>
    <w:rsid w:val="001D5488"/>
    <w:rsid w:val="001E450B"/>
    <w:rsid w:val="001E4CE2"/>
    <w:rsid w:val="001E6CE8"/>
    <w:rsid w:val="001E739A"/>
    <w:rsid w:val="001F3CA7"/>
    <w:rsid w:val="001F3D9E"/>
    <w:rsid w:val="00200421"/>
    <w:rsid w:val="00200FAD"/>
    <w:rsid w:val="002039D7"/>
    <w:rsid w:val="00210350"/>
    <w:rsid w:val="002111AB"/>
    <w:rsid w:val="002129D0"/>
    <w:rsid w:val="00213220"/>
    <w:rsid w:val="00221014"/>
    <w:rsid w:val="0022146E"/>
    <w:rsid w:val="00224F43"/>
    <w:rsid w:val="00227357"/>
    <w:rsid w:val="0023080D"/>
    <w:rsid w:val="002319DD"/>
    <w:rsid w:val="00231EE6"/>
    <w:rsid w:val="00234358"/>
    <w:rsid w:val="00240B9E"/>
    <w:rsid w:val="002436E0"/>
    <w:rsid w:val="0025047F"/>
    <w:rsid w:val="00251ADA"/>
    <w:rsid w:val="00252DCA"/>
    <w:rsid w:val="00253929"/>
    <w:rsid w:val="00255084"/>
    <w:rsid w:val="00256B50"/>
    <w:rsid w:val="0025789F"/>
    <w:rsid w:val="00260D64"/>
    <w:rsid w:val="00272AEE"/>
    <w:rsid w:val="00274E35"/>
    <w:rsid w:val="00286A41"/>
    <w:rsid w:val="00293F55"/>
    <w:rsid w:val="00296875"/>
    <w:rsid w:val="00296B43"/>
    <w:rsid w:val="00297ADA"/>
    <w:rsid w:val="002A2A37"/>
    <w:rsid w:val="002A2D0A"/>
    <w:rsid w:val="002A30BB"/>
    <w:rsid w:val="002A5703"/>
    <w:rsid w:val="002B2336"/>
    <w:rsid w:val="002B4035"/>
    <w:rsid w:val="002B49B7"/>
    <w:rsid w:val="002B51AE"/>
    <w:rsid w:val="002B70AA"/>
    <w:rsid w:val="002C48E6"/>
    <w:rsid w:val="002C58BF"/>
    <w:rsid w:val="002D7EBE"/>
    <w:rsid w:val="002E2AEC"/>
    <w:rsid w:val="002F165F"/>
    <w:rsid w:val="002F5555"/>
    <w:rsid w:val="002F738A"/>
    <w:rsid w:val="003004B7"/>
    <w:rsid w:val="00301978"/>
    <w:rsid w:val="003032BE"/>
    <w:rsid w:val="00303326"/>
    <w:rsid w:val="00310FFD"/>
    <w:rsid w:val="00314519"/>
    <w:rsid w:val="0031507D"/>
    <w:rsid w:val="003158C8"/>
    <w:rsid w:val="0031751C"/>
    <w:rsid w:val="00317B1B"/>
    <w:rsid w:val="00317B33"/>
    <w:rsid w:val="00321DC3"/>
    <w:rsid w:val="00324799"/>
    <w:rsid w:val="00324914"/>
    <w:rsid w:val="003327F1"/>
    <w:rsid w:val="003335A7"/>
    <w:rsid w:val="003335D7"/>
    <w:rsid w:val="003347F0"/>
    <w:rsid w:val="00337C1C"/>
    <w:rsid w:val="0034254A"/>
    <w:rsid w:val="00342B35"/>
    <w:rsid w:val="0034324A"/>
    <w:rsid w:val="00344D24"/>
    <w:rsid w:val="0034522D"/>
    <w:rsid w:val="00346072"/>
    <w:rsid w:val="00350840"/>
    <w:rsid w:val="00350E96"/>
    <w:rsid w:val="003602D9"/>
    <w:rsid w:val="003608F4"/>
    <w:rsid w:val="00364182"/>
    <w:rsid w:val="0036745F"/>
    <w:rsid w:val="00367F8E"/>
    <w:rsid w:val="003706A3"/>
    <w:rsid w:val="00370C56"/>
    <w:rsid w:val="00371595"/>
    <w:rsid w:val="0037191A"/>
    <w:rsid w:val="00372341"/>
    <w:rsid w:val="00376E26"/>
    <w:rsid w:val="00377587"/>
    <w:rsid w:val="00380159"/>
    <w:rsid w:val="00380D1A"/>
    <w:rsid w:val="00380EF8"/>
    <w:rsid w:val="00381305"/>
    <w:rsid w:val="0038353E"/>
    <w:rsid w:val="003940A4"/>
    <w:rsid w:val="00394868"/>
    <w:rsid w:val="003A2060"/>
    <w:rsid w:val="003A3C2C"/>
    <w:rsid w:val="003A56BB"/>
    <w:rsid w:val="003A67C5"/>
    <w:rsid w:val="003B02AF"/>
    <w:rsid w:val="003B225B"/>
    <w:rsid w:val="003B3470"/>
    <w:rsid w:val="003B7AD1"/>
    <w:rsid w:val="003C1B44"/>
    <w:rsid w:val="003C48DC"/>
    <w:rsid w:val="003C4FB4"/>
    <w:rsid w:val="003C6C06"/>
    <w:rsid w:val="003D03BD"/>
    <w:rsid w:val="003D0B9C"/>
    <w:rsid w:val="003D0D8D"/>
    <w:rsid w:val="003D200D"/>
    <w:rsid w:val="003D2F39"/>
    <w:rsid w:val="003D3DAD"/>
    <w:rsid w:val="003D4349"/>
    <w:rsid w:val="003E1987"/>
    <w:rsid w:val="003E22BB"/>
    <w:rsid w:val="003E31B4"/>
    <w:rsid w:val="003E6CEF"/>
    <w:rsid w:val="003F0048"/>
    <w:rsid w:val="003F2F56"/>
    <w:rsid w:val="003F3DD3"/>
    <w:rsid w:val="003F4B77"/>
    <w:rsid w:val="003F799E"/>
    <w:rsid w:val="00403E41"/>
    <w:rsid w:val="0040629E"/>
    <w:rsid w:val="0041333B"/>
    <w:rsid w:val="00413B79"/>
    <w:rsid w:val="004157EB"/>
    <w:rsid w:val="00420CE3"/>
    <w:rsid w:val="00420F3B"/>
    <w:rsid w:val="00421653"/>
    <w:rsid w:val="00423BC9"/>
    <w:rsid w:val="00424224"/>
    <w:rsid w:val="0042747C"/>
    <w:rsid w:val="00430946"/>
    <w:rsid w:val="0043196A"/>
    <w:rsid w:val="004333B6"/>
    <w:rsid w:val="00434F33"/>
    <w:rsid w:val="00437628"/>
    <w:rsid w:val="00437D5A"/>
    <w:rsid w:val="0044182A"/>
    <w:rsid w:val="00442FE5"/>
    <w:rsid w:val="0044519A"/>
    <w:rsid w:val="00445AFD"/>
    <w:rsid w:val="004464E5"/>
    <w:rsid w:val="00446C51"/>
    <w:rsid w:val="004473E5"/>
    <w:rsid w:val="0045413A"/>
    <w:rsid w:val="00456260"/>
    <w:rsid w:val="0045650B"/>
    <w:rsid w:val="00461008"/>
    <w:rsid w:val="00461B47"/>
    <w:rsid w:val="004629B5"/>
    <w:rsid w:val="004633D3"/>
    <w:rsid w:val="00464EEA"/>
    <w:rsid w:val="00470422"/>
    <w:rsid w:val="00475E95"/>
    <w:rsid w:val="004819DC"/>
    <w:rsid w:val="00486070"/>
    <w:rsid w:val="00486716"/>
    <w:rsid w:val="00494E98"/>
    <w:rsid w:val="00496D06"/>
    <w:rsid w:val="00496D87"/>
    <w:rsid w:val="004A0970"/>
    <w:rsid w:val="004A1DB4"/>
    <w:rsid w:val="004A445D"/>
    <w:rsid w:val="004A57C0"/>
    <w:rsid w:val="004A6499"/>
    <w:rsid w:val="004B0A58"/>
    <w:rsid w:val="004B1612"/>
    <w:rsid w:val="004B2D37"/>
    <w:rsid w:val="004B4204"/>
    <w:rsid w:val="004B45C4"/>
    <w:rsid w:val="004C0941"/>
    <w:rsid w:val="004C0A7B"/>
    <w:rsid w:val="004C6572"/>
    <w:rsid w:val="004C6D88"/>
    <w:rsid w:val="004D0738"/>
    <w:rsid w:val="004D1060"/>
    <w:rsid w:val="004D1BF4"/>
    <w:rsid w:val="004D234C"/>
    <w:rsid w:val="004D2833"/>
    <w:rsid w:val="004D2BCF"/>
    <w:rsid w:val="004D4C2D"/>
    <w:rsid w:val="004E0DEB"/>
    <w:rsid w:val="004F0B4B"/>
    <w:rsid w:val="004F0BB1"/>
    <w:rsid w:val="004F69C1"/>
    <w:rsid w:val="00500687"/>
    <w:rsid w:val="00501CC0"/>
    <w:rsid w:val="005064DC"/>
    <w:rsid w:val="005105B5"/>
    <w:rsid w:val="00510E4F"/>
    <w:rsid w:val="00510E59"/>
    <w:rsid w:val="005137E8"/>
    <w:rsid w:val="00513E22"/>
    <w:rsid w:val="00524427"/>
    <w:rsid w:val="00527902"/>
    <w:rsid w:val="00535E36"/>
    <w:rsid w:val="0054411E"/>
    <w:rsid w:val="00545522"/>
    <w:rsid w:val="0055128A"/>
    <w:rsid w:val="00556459"/>
    <w:rsid w:val="0056253C"/>
    <w:rsid w:val="00565690"/>
    <w:rsid w:val="0056676C"/>
    <w:rsid w:val="00571ABE"/>
    <w:rsid w:val="005748B5"/>
    <w:rsid w:val="005748D0"/>
    <w:rsid w:val="0058685F"/>
    <w:rsid w:val="00586AD6"/>
    <w:rsid w:val="00590023"/>
    <w:rsid w:val="005901D2"/>
    <w:rsid w:val="005946FD"/>
    <w:rsid w:val="005961CD"/>
    <w:rsid w:val="00596DD6"/>
    <w:rsid w:val="005A0907"/>
    <w:rsid w:val="005A0B3D"/>
    <w:rsid w:val="005A40FC"/>
    <w:rsid w:val="005A4BD2"/>
    <w:rsid w:val="005B021C"/>
    <w:rsid w:val="005B266F"/>
    <w:rsid w:val="005B2B48"/>
    <w:rsid w:val="005C0162"/>
    <w:rsid w:val="005C2384"/>
    <w:rsid w:val="005C24D1"/>
    <w:rsid w:val="005C2E8B"/>
    <w:rsid w:val="005C634C"/>
    <w:rsid w:val="005C6B31"/>
    <w:rsid w:val="005C710F"/>
    <w:rsid w:val="005D28BF"/>
    <w:rsid w:val="005D2D07"/>
    <w:rsid w:val="005D4493"/>
    <w:rsid w:val="005D4752"/>
    <w:rsid w:val="005D59B7"/>
    <w:rsid w:val="005D5B41"/>
    <w:rsid w:val="005D5E12"/>
    <w:rsid w:val="005D6681"/>
    <w:rsid w:val="005E096C"/>
    <w:rsid w:val="005E11BE"/>
    <w:rsid w:val="005F0FCC"/>
    <w:rsid w:val="005F1210"/>
    <w:rsid w:val="005F2559"/>
    <w:rsid w:val="006028A6"/>
    <w:rsid w:val="006028F3"/>
    <w:rsid w:val="006054E2"/>
    <w:rsid w:val="0060567C"/>
    <w:rsid w:val="00610C54"/>
    <w:rsid w:val="00611B3C"/>
    <w:rsid w:val="0061236E"/>
    <w:rsid w:val="00612BEC"/>
    <w:rsid w:val="00615BDC"/>
    <w:rsid w:val="00617210"/>
    <w:rsid w:val="00617AE4"/>
    <w:rsid w:val="00617AFE"/>
    <w:rsid w:val="00622795"/>
    <w:rsid w:val="00627F96"/>
    <w:rsid w:val="006355FF"/>
    <w:rsid w:val="00636D99"/>
    <w:rsid w:val="006406F6"/>
    <w:rsid w:val="00641586"/>
    <w:rsid w:val="00644B10"/>
    <w:rsid w:val="00645A3E"/>
    <w:rsid w:val="00647209"/>
    <w:rsid w:val="0065062B"/>
    <w:rsid w:val="00652A7D"/>
    <w:rsid w:val="00652B5A"/>
    <w:rsid w:val="00654303"/>
    <w:rsid w:val="006549BA"/>
    <w:rsid w:val="00657365"/>
    <w:rsid w:val="006603B6"/>
    <w:rsid w:val="00662D5F"/>
    <w:rsid w:val="00663A08"/>
    <w:rsid w:val="006640C9"/>
    <w:rsid w:val="00664FE0"/>
    <w:rsid w:val="006678F2"/>
    <w:rsid w:val="006706BF"/>
    <w:rsid w:val="006708B0"/>
    <w:rsid w:val="00670AFD"/>
    <w:rsid w:val="006765D6"/>
    <w:rsid w:val="0068624A"/>
    <w:rsid w:val="00691CC3"/>
    <w:rsid w:val="006929FA"/>
    <w:rsid w:val="0069362F"/>
    <w:rsid w:val="00693F48"/>
    <w:rsid w:val="00694AC4"/>
    <w:rsid w:val="006966C1"/>
    <w:rsid w:val="006A1DF1"/>
    <w:rsid w:val="006A6D5E"/>
    <w:rsid w:val="006B0331"/>
    <w:rsid w:val="006B1E53"/>
    <w:rsid w:val="006B25F8"/>
    <w:rsid w:val="006C134F"/>
    <w:rsid w:val="006C1D71"/>
    <w:rsid w:val="006C4B1F"/>
    <w:rsid w:val="006C4B92"/>
    <w:rsid w:val="006C63BF"/>
    <w:rsid w:val="006D0B55"/>
    <w:rsid w:val="006D19CC"/>
    <w:rsid w:val="006D2611"/>
    <w:rsid w:val="006D6B23"/>
    <w:rsid w:val="006D746D"/>
    <w:rsid w:val="006D75AC"/>
    <w:rsid w:val="006D7829"/>
    <w:rsid w:val="006F42BB"/>
    <w:rsid w:val="006F43C2"/>
    <w:rsid w:val="006F6E4F"/>
    <w:rsid w:val="007009C0"/>
    <w:rsid w:val="007046B0"/>
    <w:rsid w:val="007049CC"/>
    <w:rsid w:val="007102EA"/>
    <w:rsid w:val="00710822"/>
    <w:rsid w:val="007110C4"/>
    <w:rsid w:val="00714F2B"/>
    <w:rsid w:val="00715905"/>
    <w:rsid w:val="007211CB"/>
    <w:rsid w:val="0072196E"/>
    <w:rsid w:val="007224D7"/>
    <w:rsid w:val="00731CB5"/>
    <w:rsid w:val="007327A5"/>
    <w:rsid w:val="00735E43"/>
    <w:rsid w:val="00736C00"/>
    <w:rsid w:val="00736D05"/>
    <w:rsid w:val="007434F8"/>
    <w:rsid w:val="00744F73"/>
    <w:rsid w:val="00746AFB"/>
    <w:rsid w:val="007477E8"/>
    <w:rsid w:val="00750540"/>
    <w:rsid w:val="0075305C"/>
    <w:rsid w:val="007556EA"/>
    <w:rsid w:val="00757E1C"/>
    <w:rsid w:val="00764DE3"/>
    <w:rsid w:val="00765B79"/>
    <w:rsid w:val="007677D9"/>
    <w:rsid w:val="007722E0"/>
    <w:rsid w:val="0077728C"/>
    <w:rsid w:val="00780E7A"/>
    <w:rsid w:val="00780E9C"/>
    <w:rsid w:val="007835D7"/>
    <w:rsid w:val="00784E15"/>
    <w:rsid w:val="00784F14"/>
    <w:rsid w:val="007870D3"/>
    <w:rsid w:val="0078737F"/>
    <w:rsid w:val="00795C4F"/>
    <w:rsid w:val="00797287"/>
    <w:rsid w:val="007A01E4"/>
    <w:rsid w:val="007A0CEE"/>
    <w:rsid w:val="007A1EF7"/>
    <w:rsid w:val="007A5C71"/>
    <w:rsid w:val="007A797B"/>
    <w:rsid w:val="007B2BC4"/>
    <w:rsid w:val="007B3295"/>
    <w:rsid w:val="007B44DB"/>
    <w:rsid w:val="007B604F"/>
    <w:rsid w:val="007C5AE7"/>
    <w:rsid w:val="007C7ED6"/>
    <w:rsid w:val="007D20F4"/>
    <w:rsid w:val="007D655B"/>
    <w:rsid w:val="007E3406"/>
    <w:rsid w:val="007E3A16"/>
    <w:rsid w:val="007E450F"/>
    <w:rsid w:val="007E5286"/>
    <w:rsid w:val="007E574C"/>
    <w:rsid w:val="007E7E93"/>
    <w:rsid w:val="007F2B1E"/>
    <w:rsid w:val="0080097C"/>
    <w:rsid w:val="0080159F"/>
    <w:rsid w:val="00801C0E"/>
    <w:rsid w:val="00811F49"/>
    <w:rsid w:val="00811FD5"/>
    <w:rsid w:val="008139C6"/>
    <w:rsid w:val="008153D4"/>
    <w:rsid w:val="00816DED"/>
    <w:rsid w:val="0082106D"/>
    <w:rsid w:val="00822680"/>
    <w:rsid w:val="0082399B"/>
    <w:rsid w:val="00823F27"/>
    <w:rsid w:val="00824B27"/>
    <w:rsid w:val="00825EC9"/>
    <w:rsid w:val="008265F0"/>
    <w:rsid w:val="0082728F"/>
    <w:rsid w:val="0082741D"/>
    <w:rsid w:val="008301DE"/>
    <w:rsid w:val="00831AB3"/>
    <w:rsid w:val="00831BBC"/>
    <w:rsid w:val="00837D3E"/>
    <w:rsid w:val="00840329"/>
    <w:rsid w:val="00841475"/>
    <w:rsid w:val="0084221A"/>
    <w:rsid w:val="00843001"/>
    <w:rsid w:val="00844EB2"/>
    <w:rsid w:val="00847DD3"/>
    <w:rsid w:val="008523E2"/>
    <w:rsid w:val="00856772"/>
    <w:rsid w:val="00857EE6"/>
    <w:rsid w:val="008617E5"/>
    <w:rsid w:val="008623AB"/>
    <w:rsid w:val="008631DD"/>
    <w:rsid w:val="00863709"/>
    <w:rsid w:val="00863F30"/>
    <w:rsid w:val="00866337"/>
    <w:rsid w:val="008674E5"/>
    <w:rsid w:val="0087230C"/>
    <w:rsid w:val="008762F5"/>
    <w:rsid w:val="0088761B"/>
    <w:rsid w:val="008917CD"/>
    <w:rsid w:val="00893432"/>
    <w:rsid w:val="00895FDF"/>
    <w:rsid w:val="008B0DC5"/>
    <w:rsid w:val="008B0FF2"/>
    <w:rsid w:val="008B4946"/>
    <w:rsid w:val="008C72A2"/>
    <w:rsid w:val="008D0F1A"/>
    <w:rsid w:val="008D18B2"/>
    <w:rsid w:val="008D4941"/>
    <w:rsid w:val="008D64CC"/>
    <w:rsid w:val="008D798E"/>
    <w:rsid w:val="008D7EFC"/>
    <w:rsid w:val="008E1774"/>
    <w:rsid w:val="008E5F83"/>
    <w:rsid w:val="008E6B13"/>
    <w:rsid w:val="008F1694"/>
    <w:rsid w:val="008F4D75"/>
    <w:rsid w:val="008F77F3"/>
    <w:rsid w:val="008F7C50"/>
    <w:rsid w:val="00904BA8"/>
    <w:rsid w:val="00907905"/>
    <w:rsid w:val="00911063"/>
    <w:rsid w:val="00912ADD"/>
    <w:rsid w:val="00913861"/>
    <w:rsid w:val="00914506"/>
    <w:rsid w:val="009145B8"/>
    <w:rsid w:val="009168B6"/>
    <w:rsid w:val="00916DA9"/>
    <w:rsid w:val="009173F1"/>
    <w:rsid w:val="00922A92"/>
    <w:rsid w:val="0092778D"/>
    <w:rsid w:val="00930FF9"/>
    <w:rsid w:val="00932001"/>
    <w:rsid w:val="0093214A"/>
    <w:rsid w:val="009332F2"/>
    <w:rsid w:val="009360E7"/>
    <w:rsid w:val="009361B5"/>
    <w:rsid w:val="009372E1"/>
    <w:rsid w:val="009401DB"/>
    <w:rsid w:val="00941FFC"/>
    <w:rsid w:val="009420FF"/>
    <w:rsid w:val="0094370E"/>
    <w:rsid w:val="00950277"/>
    <w:rsid w:val="009509D9"/>
    <w:rsid w:val="00951681"/>
    <w:rsid w:val="00953EBE"/>
    <w:rsid w:val="0095479C"/>
    <w:rsid w:val="00957C08"/>
    <w:rsid w:val="00960963"/>
    <w:rsid w:val="00964F95"/>
    <w:rsid w:val="009665A0"/>
    <w:rsid w:val="00975631"/>
    <w:rsid w:val="009779C6"/>
    <w:rsid w:val="00977C0A"/>
    <w:rsid w:val="00980915"/>
    <w:rsid w:val="00986760"/>
    <w:rsid w:val="0099237B"/>
    <w:rsid w:val="00992F66"/>
    <w:rsid w:val="009965A5"/>
    <w:rsid w:val="009971A2"/>
    <w:rsid w:val="0099758A"/>
    <w:rsid w:val="00997A90"/>
    <w:rsid w:val="009A3347"/>
    <w:rsid w:val="009A55A1"/>
    <w:rsid w:val="009A6B5F"/>
    <w:rsid w:val="009A71C3"/>
    <w:rsid w:val="009B0A7D"/>
    <w:rsid w:val="009B1088"/>
    <w:rsid w:val="009B15C9"/>
    <w:rsid w:val="009B5379"/>
    <w:rsid w:val="009B5F66"/>
    <w:rsid w:val="009B7ABD"/>
    <w:rsid w:val="009C068C"/>
    <w:rsid w:val="009C2408"/>
    <w:rsid w:val="009C3940"/>
    <w:rsid w:val="009C6848"/>
    <w:rsid w:val="009D15F9"/>
    <w:rsid w:val="009D3EAF"/>
    <w:rsid w:val="009D4196"/>
    <w:rsid w:val="009D475E"/>
    <w:rsid w:val="009D6519"/>
    <w:rsid w:val="009D6BF1"/>
    <w:rsid w:val="009D79A3"/>
    <w:rsid w:val="009D7AEE"/>
    <w:rsid w:val="009D7FAC"/>
    <w:rsid w:val="009E5102"/>
    <w:rsid w:val="009E5DE8"/>
    <w:rsid w:val="009E72B0"/>
    <w:rsid w:val="009F5F26"/>
    <w:rsid w:val="009F7713"/>
    <w:rsid w:val="00A021A0"/>
    <w:rsid w:val="00A02D19"/>
    <w:rsid w:val="00A03EDB"/>
    <w:rsid w:val="00A06758"/>
    <w:rsid w:val="00A07C78"/>
    <w:rsid w:val="00A1226E"/>
    <w:rsid w:val="00A21A8A"/>
    <w:rsid w:val="00A271C5"/>
    <w:rsid w:val="00A30453"/>
    <w:rsid w:val="00A30C23"/>
    <w:rsid w:val="00A3248D"/>
    <w:rsid w:val="00A36EBE"/>
    <w:rsid w:val="00A406DF"/>
    <w:rsid w:val="00A40AC8"/>
    <w:rsid w:val="00A41C0D"/>
    <w:rsid w:val="00A41EA5"/>
    <w:rsid w:val="00A421B8"/>
    <w:rsid w:val="00A45B6F"/>
    <w:rsid w:val="00A466C8"/>
    <w:rsid w:val="00A50003"/>
    <w:rsid w:val="00A536FB"/>
    <w:rsid w:val="00A54760"/>
    <w:rsid w:val="00A567A0"/>
    <w:rsid w:val="00A568FF"/>
    <w:rsid w:val="00A57676"/>
    <w:rsid w:val="00A6007B"/>
    <w:rsid w:val="00A65EAF"/>
    <w:rsid w:val="00A70714"/>
    <w:rsid w:val="00A7140C"/>
    <w:rsid w:val="00A718E1"/>
    <w:rsid w:val="00A748C6"/>
    <w:rsid w:val="00A75EEE"/>
    <w:rsid w:val="00A76FC3"/>
    <w:rsid w:val="00A92098"/>
    <w:rsid w:val="00A93A35"/>
    <w:rsid w:val="00A94116"/>
    <w:rsid w:val="00A94E01"/>
    <w:rsid w:val="00A9523C"/>
    <w:rsid w:val="00A966A7"/>
    <w:rsid w:val="00A9771A"/>
    <w:rsid w:val="00AA10BE"/>
    <w:rsid w:val="00AA2922"/>
    <w:rsid w:val="00AA6099"/>
    <w:rsid w:val="00AB0322"/>
    <w:rsid w:val="00AB0A48"/>
    <w:rsid w:val="00AB2750"/>
    <w:rsid w:val="00AB30F6"/>
    <w:rsid w:val="00AB3EE8"/>
    <w:rsid w:val="00AC5239"/>
    <w:rsid w:val="00AC5C12"/>
    <w:rsid w:val="00AC5C3A"/>
    <w:rsid w:val="00AD57B5"/>
    <w:rsid w:val="00AD60CB"/>
    <w:rsid w:val="00AE090C"/>
    <w:rsid w:val="00AE4DA7"/>
    <w:rsid w:val="00AE572E"/>
    <w:rsid w:val="00AE5E3A"/>
    <w:rsid w:val="00AE708A"/>
    <w:rsid w:val="00AE7E9A"/>
    <w:rsid w:val="00AF101C"/>
    <w:rsid w:val="00B021DF"/>
    <w:rsid w:val="00B03BCA"/>
    <w:rsid w:val="00B07FA4"/>
    <w:rsid w:val="00B102B1"/>
    <w:rsid w:val="00B108C2"/>
    <w:rsid w:val="00B12BDE"/>
    <w:rsid w:val="00B13BC8"/>
    <w:rsid w:val="00B155E7"/>
    <w:rsid w:val="00B15F4D"/>
    <w:rsid w:val="00B16D26"/>
    <w:rsid w:val="00B22434"/>
    <w:rsid w:val="00B2297B"/>
    <w:rsid w:val="00B22F5F"/>
    <w:rsid w:val="00B26CFB"/>
    <w:rsid w:val="00B26DB4"/>
    <w:rsid w:val="00B31D9B"/>
    <w:rsid w:val="00B335DD"/>
    <w:rsid w:val="00B352F2"/>
    <w:rsid w:val="00B4030F"/>
    <w:rsid w:val="00B4140F"/>
    <w:rsid w:val="00B474E6"/>
    <w:rsid w:val="00B531CC"/>
    <w:rsid w:val="00B55169"/>
    <w:rsid w:val="00B6037E"/>
    <w:rsid w:val="00B61B7E"/>
    <w:rsid w:val="00B62137"/>
    <w:rsid w:val="00B64CCB"/>
    <w:rsid w:val="00B659F2"/>
    <w:rsid w:val="00B67EBA"/>
    <w:rsid w:val="00B7067D"/>
    <w:rsid w:val="00B72927"/>
    <w:rsid w:val="00B761B1"/>
    <w:rsid w:val="00B762C5"/>
    <w:rsid w:val="00B7705D"/>
    <w:rsid w:val="00B861D7"/>
    <w:rsid w:val="00B86972"/>
    <w:rsid w:val="00B86AC4"/>
    <w:rsid w:val="00B86DDB"/>
    <w:rsid w:val="00B928F0"/>
    <w:rsid w:val="00B92B98"/>
    <w:rsid w:val="00B92DBB"/>
    <w:rsid w:val="00B946D6"/>
    <w:rsid w:val="00B95AC0"/>
    <w:rsid w:val="00B95E75"/>
    <w:rsid w:val="00B96F2C"/>
    <w:rsid w:val="00B97029"/>
    <w:rsid w:val="00B9785A"/>
    <w:rsid w:val="00BA0699"/>
    <w:rsid w:val="00BA06CF"/>
    <w:rsid w:val="00BA199C"/>
    <w:rsid w:val="00BA42B2"/>
    <w:rsid w:val="00BA5CBF"/>
    <w:rsid w:val="00BA771C"/>
    <w:rsid w:val="00BB430E"/>
    <w:rsid w:val="00BB7503"/>
    <w:rsid w:val="00BC1C86"/>
    <w:rsid w:val="00BC2CD2"/>
    <w:rsid w:val="00BC2CD3"/>
    <w:rsid w:val="00BC33AC"/>
    <w:rsid w:val="00BC471E"/>
    <w:rsid w:val="00BC573E"/>
    <w:rsid w:val="00BC6915"/>
    <w:rsid w:val="00BC7E71"/>
    <w:rsid w:val="00BD2DED"/>
    <w:rsid w:val="00BE1D0B"/>
    <w:rsid w:val="00BE2AC3"/>
    <w:rsid w:val="00BE38AA"/>
    <w:rsid w:val="00BE5487"/>
    <w:rsid w:val="00BE6788"/>
    <w:rsid w:val="00BF2194"/>
    <w:rsid w:val="00BF62B1"/>
    <w:rsid w:val="00C01B29"/>
    <w:rsid w:val="00C063C3"/>
    <w:rsid w:val="00C06E18"/>
    <w:rsid w:val="00C07878"/>
    <w:rsid w:val="00C105D2"/>
    <w:rsid w:val="00C15324"/>
    <w:rsid w:val="00C15AB7"/>
    <w:rsid w:val="00C20E34"/>
    <w:rsid w:val="00C20E42"/>
    <w:rsid w:val="00C233AB"/>
    <w:rsid w:val="00C25ABB"/>
    <w:rsid w:val="00C260CD"/>
    <w:rsid w:val="00C30D2F"/>
    <w:rsid w:val="00C31DBA"/>
    <w:rsid w:val="00C327AE"/>
    <w:rsid w:val="00C37573"/>
    <w:rsid w:val="00C41266"/>
    <w:rsid w:val="00C429D3"/>
    <w:rsid w:val="00C46CA3"/>
    <w:rsid w:val="00C475A9"/>
    <w:rsid w:val="00C5251F"/>
    <w:rsid w:val="00C54697"/>
    <w:rsid w:val="00C56B8E"/>
    <w:rsid w:val="00C62273"/>
    <w:rsid w:val="00C714A0"/>
    <w:rsid w:val="00C75552"/>
    <w:rsid w:val="00C818AA"/>
    <w:rsid w:val="00C82B6A"/>
    <w:rsid w:val="00C82D6F"/>
    <w:rsid w:val="00C84A0D"/>
    <w:rsid w:val="00C84CC0"/>
    <w:rsid w:val="00C8755F"/>
    <w:rsid w:val="00C96086"/>
    <w:rsid w:val="00C9659E"/>
    <w:rsid w:val="00CA0B50"/>
    <w:rsid w:val="00CA0C36"/>
    <w:rsid w:val="00CA4A82"/>
    <w:rsid w:val="00CA4CEE"/>
    <w:rsid w:val="00CA73A6"/>
    <w:rsid w:val="00CB022B"/>
    <w:rsid w:val="00CB367A"/>
    <w:rsid w:val="00CB3A0B"/>
    <w:rsid w:val="00CB42E5"/>
    <w:rsid w:val="00CB50D7"/>
    <w:rsid w:val="00CB677A"/>
    <w:rsid w:val="00CB6A13"/>
    <w:rsid w:val="00CC4BBA"/>
    <w:rsid w:val="00CE06F6"/>
    <w:rsid w:val="00CE1B88"/>
    <w:rsid w:val="00CE29A0"/>
    <w:rsid w:val="00CE7E80"/>
    <w:rsid w:val="00CE7F7C"/>
    <w:rsid w:val="00CF071A"/>
    <w:rsid w:val="00CF08D7"/>
    <w:rsid w:val="00CF14C8"/>
    <w:rsid w:val="00CF2DE2"/>
    <w:rsid w:val="00D005EA"/>
    <w:rsid w:val="00D0185B"/>
    <w:rsid w:val="00D055D7"/>
    <w:rsid w:val="00D114F5"/>
    <w:rsid w:val="00D17B9A"/>
    <w:rsid w:val="00D20BAE"/>
    <w:rsid w:val="00D2117B"/>
    <w:rsid w:val="00D24F8D"/>
    <w:rsid w:val="00D275D7"/>
    <w:rsid w:val="00D365FD"/>
    <w:rsid w:val="00D4093E"/>
    <w:rsid w:val="00D418CD"/>
    <w:rsid w:val="00D41E73"/>
    <w:rsid w:val="00D4408B"/>
    <w:rsid w:val="00D47E2A"/>
    <w:rsid w:val="00D47FF3"/>
    <w:rsid w:val="00D54AD6"/>
    <w:rsid w:val="00D55DB4"/>
    <w:rsid w:val="00D57E59"/>
    <w:rsid w:val="00D62094"/>
    <w:rsid w:val="00D6348D"/>
    <w:rsid w:val="00D644B6"/>
    <w:rsid w:val="00D64B8C"/>
    <w:rsid w:val="00D7792A"/>
    <w:rsid w:val="00D82586"/>
    <w:rsid w:val="00D83B79"/>
    <w:rsid w:val="00D8754D"/>
    <w:rsid w:val="00D90FC0"/>
    <w:rsid w:val="00D934F6"/>
    <w:rsid w:val="00D94091"/>
    <w:rsid w:val="00D9495E"/>
    <w:rsid w:val="00D96643"/>
    <w:rsid w:val="00D97322"/>
    <w:rsid w:val="00DA0F30"/>
    <w:rsid w:val="00DA1E8C"/>
    <w:rsid w:val="00DA317C"/>
    <w:rsid w:val="00DA5218"/>
    <w:rsid w:val="00DA5655"/>
    <w:rsid w:val="00DA7AE3"/>
    <w:rsid w:val="00DB0BBC"/>
    <w:rsid w:val="00DB19F6"/>
    <w:rsid w:val="00DB3FEC"/>
    <w:rsid w:val="00DB6D18"/>
    <w:rsid w:val="00DC2917"/>
    <w:rsid w:val="00DC2976"/>
    <w:rsid w:val="00DC3CBB"/>
    <w:rsid w:val="00DC7139"/>
    <w:rsid w:val="00DD0067"/>
    <w:rsid w:val="00DD32F2"/>
    <w:rsid w:val="00DD3A49"/>
    <w:rsid w:val="00DD7E6C"/>
    <w:rsid w:val="00DE00EB"/>
    <w:rsid w:val="00DE548E"/>
    <w:rsid w:val="00DF30B2"/>
    <w:rsid w:val="00DF65F4"/>
    <w:rsid w:val="00DF72DE"/>
    <w:rsid w:val="00E005B7"/>
    <w:rsid w:val="00E045CB"/>
    <w:rsid w:val="00E0465E"/>
    <w:rsid w:val="00E056C2"/>
    <w:rsid w:val="00E06EDD"/>
    <w:rsid w:val="00E07E58"/>
    <w:rsid w:val="00E13778"/>
    <w:rsid w:val="00E15B8D"/>
    <w:rsid w:val="00E15EC0"/>
    <w:rsid w:val="00E16937"/>
    <w:rsid w:val="00E16D24"/>
    <w:rsid w:val="00E17122"/>
    <w:rsid w:val="00E20F49"/>
    <w:rsid w:val="00E22052"/>
    <w:rsid w:val="00E23EC2"/>
    <w:rsid w:val="00E271D0"/>
    <w:rsid w:val="00E278CE"/>
    <w:rsid w:val="00E27E29"/>
    <w:rsid w:val="00E34FCD"/>
    <w:rsid w:val="00E35CBC"/>
    <w:rsid w:val="00E379CF"/>
    <w:rsid w:val="00E40D08"/>
    <w:rsid w:val="00E4273C"/>
    <w:rsid w:val="00E45709"/>
    <w:rsid w:val="00E462F8"/>
    <w:rsid w:val="00E524AC"/>
    <w:rsid w:val="00E528D0"/>
    <w:rsid w:val="00E52C1C"/>
    <w:rsid w:val="00E53027"/>
    <w:rsid w:val="00E5352E"/>
    <w:rsid w:val="00E62776"/>
    <w:rsid w:val="00E62F43"/>
    <w:rsid w:val="00E63CAD"/>
    <w:rsid w:val="00E66B90"/>
    <w:rsid w:val="00E67EEB"/>
    <w:rsid w:val="00E71D08"/>
    <w:rsid w:val="00E764F7"/>
    <w:rsid w:val="00E76A2B"/>
    <w:rsid w:val="00E804A7"/>
    <w:rsid w:val="00E8149B"/>
    <w:rsid w:val="00E82994"/>
    <w:rsid w:val="00E834A5"/>
    <w:rsid w:val="00E85D41"/>
    <w:rsid w:val="00E976F6"/>
    <w:rsid w:val="00EA0099"/>
    <w:rsid w:val="00EA2D17"/>
    <w:rsid w:val="00EA2F6F"/>
    <w:rsid w:val="00EA3650"/>
    <w:rsid w:val="00EA6624"/>
    <w:rsid w:val="00EC3A5B"/>
    <w:rsid w:val="00EC3AB8"/>
    <w:rsid w:val="00EC3DBE"/>
    <w:rsid w:val="00EC44B9"/>
    <w:rsid w:val="00ED0E4B"/>
    <w:rsid w:val="00ED29C0"/>
    <w:rsid w:val="00ED2F39"/>
    <w:rsid w:val="00EE0BB5"/>
    <w:rsid w:val="00EE3EB2"/>
    <w:rsid w:val="00EE563B"/>
    <w:rsid w:val="00EF2A83"/>
    <w:rsid w:val="00EF2B8D"/>
    <w:rsid w:val="00EF3403"/>
    <w:rsid w:val="00EF6B04"/>
    <w:rsid w:val="00F03D9F"/>
    <w:rsid w:val="00F042A1"/>
    <w:rsid w:val="00F060AB"/>
    <w:rsid w:val="00F10BEA"/>
    <w:rsid w:val="00F14A46"/>
    <w:rsid w:val="00F178A0"/>
    <w:rsid w:val="00F2249A"/>
    <w:rsid w:val="00F22C86"/>
    <w:rsid w:val="00F26F52"/>
    <w:rsid w:val="00F305B2"/>
    <w:rsid w:val="00F30D99"/>
    <w:rsid w:val="00F32AC0"/>
    <w:rsid w:val="00F33BE0"/>
    <w:rsid w:val="00F37058"/>
    <w:rsid w:val="00F407C3"/>
    <w:rsid w:val="00F41BDE"/>
    <w:rsid w:val="00F42C95"/>
    <w:rsid w:val="00F43AB5"/>
    <w:rsid w:val="00F50C73"/>
    <w:rsid w:val="00F532F9"/>
    <w:rsid w:val="00F618D7"/>
    <w:rsid w:val="00F61986"/>
    <w:rsid w:val="00F6793E"/>
    <w:rsid w:val="00F70369"/>
    <w:rsid w:val="00F709EA"/>
    <w:rsid w:val="00F747C4"/>
    <w:rsid w:val="00F7737A"/>
    <w:rsid w:val="00F778A8"/>
    <w:rsid w:val="00F77B0A"/>
    <w:rsid w:val="00F83428"/>
    <w:rsid w:val="00F838D7"/>
    <w:rsid w:val="00F90728"/>
    <w:rsid w:val="00F90B40"/>
    <w:rsid w:val="00F97705"/>
    <w:rsid w:val="00F97D45"/>
    <w:rsid w:val="00FA2411"/>
    <w:rsid w:val="00FA33E4"/>
    <w:rsid w:val="00FA5596"/>
    <w:rsid w:val="00FA5D1C"/>
    <w:rsid w:val="00FB1C69"/>
    <w:rsid w:val="00FB24DB"/>
    <w:rsid w:val="00FB6069"/>
    <w:rsid w:val="00FC0086"/>
    <w:rsid w:val="00FC0400"/>
    <w:rsid w:val="00FC0553"/>
    <w:rsid w:val="00FC28E6"/>
    <w:rsid w:val="00FC3E40"/>
    <w:rsid w:val="00FC4DD5"/>
    <w:rsid w:val="00FC5ABD"/>
    <w:rsid w:val="00FC60FF"/>
    <w:rsid w:val="00FC6E14"/>
    <w:rsid w:val="00FD1ED7"/>
    <w:rsid w:val="00FD1F21"/>
    <w:rsid w:val="00FD2E2C"/>
    <w:rsid w:val="00FD6B55"/>
    <w:rsid w:val="00FE5F71"/>
    <w:rsid w:val="00FE63C7"/>
    <w:rsid w:val="00FE64A6"/>
    <w:rsid w:val="00FE7CA9"/>
    <w:rsid w:val="00FF39C5"/>
    <w:rsid w:val="00FF67A1"/>
    <w:rsid w:val="00FF6CC2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45D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D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62094"/>
  </w:style>
  <w:style w:type="paragraph" w:styleId="a7">
    <w:name w:val="footer"/>
    <w:basedOn w:val="a0"/>
    <w:link w:val="a8"/>
    <w:uiPriority w:val="99"/>
    <w:unhideWhenUsed/>
    <w:rsid w:val="00D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62094"/>
  </w:style>
  <w:style w:type="table" w:customStyle="1" w:styleId="1">
    <w:name w:val="Сетка таблицы1"/>
    <w:basedOn w:val="a2"/>
    <w:next w:val="a9"/>
    <w:uiPriority w:val="39"/>
    <w:rsid w:val="004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39"/>
    <w:rsid w:val="004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0A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2AE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23F27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45D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D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62094"/>
  </w:style>
  <w:style w:type="paragraph" w:styleId="a7">
    <w:name w:val="footer"/>
    <w:basedOn w:val="a0"/>
    <w:link w:val="a8"/>
    <w:uiPriority w:val="99"/>
    <w:unhideWhenUsed/>
    <w:rsid w:val="00D6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62094"/>
  </w:style>
  <w:style w:type="table" w:customStyle="1" w:styleId="1">
    <w:name w:val="Сетка таблицы1"/>
    <w:basedOn w:val="a2"/>
    <w:next w:val="a9"/>
    <w:uiPriority w:val="39"/>
    <w:rsid w:val="004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39"/>
    <w:rsid w:val="004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0A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2AE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23F27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8\Desktop\&#1047;&#1077;&#1083;&#1105;&#1085;&#1072;&#1103;%20&#1101;&#1082;&#1086;&#1085;&#1086;&#1084;&#1080;&#1082;&#1072;\&#1057;&#1090;&#1072;&#1090;.&#1076;&#1072;&#1085;&#1085;&#1099;&#1077;\&#1086;&#1073;&#1088;&#1072;&#1079;&#1074;&#1086;&#1072;&#1085;&#1086;%20&#1080;%20&#1080;&#1089;&#1087;&#1086;&#1083;&#1100;&#1079;&#1086;&#1074;&#1072;&#1085;&#1086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8\Documents\&#1075;&#1088;&#1072;&#1092;&#1080;&#1082;&#1080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Образование и использование отходов в Ульяновской области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796062992125986"/>
          <c:y val="0.3120487022455527"/>
          <c:w val="0.48162270341207347"/>
          <c:h val="0.557133275007290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Лист1!$A$3:$B$3</c:f>
              <c:strCache>
                <c:ptCount val="1"/>
                <c:pt idx="0">
                  <c:v>Образовано отходов</c:v>
                </c:pt>
              </c:strCache>
            </c:strRef>
          </c:tx>
          <c:cat>
            <c:numRef>
              <c:f>Лист1!$C$2:$H$2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370897.01949999999</c:v>
                </c:pt>
                <c:pt idx="1">
                  <c:v>868045.74529999995</c:v>
                </c:pt>
                <c:pt idx="2">
                  <c:v>782922.49800000002</c:v>
                </c:pt>
                <c:pt idx="3">
                  <c:v>844605.98</c:v>
                </c:pt>
                <c:pt idx="4">
                  <c:v>686233.46</c:v>
                </c:pt>
                <c:pt idx="5">
                  <c:v>1236120.3899999999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Лист1!$A$4:$B$4</c:f>
              <c:strCache>
                <c:ptCount val="1"/>
                <c:pt idx="0">
                  <c:v>Использовано отходов</c:v>
                </c:pt>
              </c:strCache>
            </c:strRef>
          </c:tx>
          <c:cat>
            <c:numRef>
              <c:f>Лист1!$C$2:$H$2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91507.537599999996</c:v>
                </c:pt>
                <c:pt idx="1">
                  <c:v>598280.71710000001</c:v>
                </c:pt>
                <c:pt idx="2">
                  <c:v>458096.68070000003</c:v>
                </c:pt>
                <c:pt idx="3">
                  <c:v>130911.36900000001</c:v>
                </c:pt>
                <c:pt idx="4">
                  <c:v>113322.5925</c:v>
                </c:pt>
                <c:pt idx="5">
                  <c:v>51971.073199999999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85312"/>
        <c:axId val="129887232"/>
      </c:lineChart>
      <c:catAx>
        <c:axId val="12988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61952187226596667"/>
              <c:y val="0.804606299212598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9887232"/>
        <c:crosses val="autoZero"/>
        <c:auto val="1"/>
        <c:lblAlgn val="ctr"/>
        <c:lblOffset val="100"/>
        <c:noMultiLvlLbl val="0"/>
      </c:catAx>
      <c:valAx>
        <c:axId val="1298872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тонн</a:t>
                </a:r>
              </a:p>
            </c:rich>
          </c:tx>
          <c:layout>
            <c:manualLayout>
              <c:xMode val="edge"/>
              <c:yMode val="edge"/>
              <c:x val="8.3333333333333332E-3"/>
              <c:y val="0.1989370078740157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988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Выбросы</a:t>
            </a:r>
            <a:r>
              <a:rPr lang="ru-RU" sz="1200" baseline="0"/>
              <a:t> загрязняющих атмосферу веществ</a:t>
            </a:r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4170119630612E-2"/>
          <c:y val="0.21155267298034813"/>
          <c:w val="0.4927357344520924"/>
          <c:h val="0.6228752485159504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Лист2!$B$2:$F$2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Лист2!$B$3:$F$3</c:f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стационарными источниками</c:v>
                </c:pt>
              </c:strCache>
            </c:strRef>
          </c:tx>
          <c:invertIfNegative val="0"/>
          <c:cat>
            <c:numRef>
              <c:f>Лист2!$B$2:$F$2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34.4</c:v>
                </c:pt>
                <c:pt idx="1">
                  <c:v>38.1</c:v>
                </c:pt>
                <c:pt idx="2">
                  <c:v>34.200000000000003</c:v>
                </c:pt>
                <c:pt idx="3">
                  <c:v>33.200000000000003</c:v>
                </c:pt>
                <c:pt idx="4">
                  <c:v>32.6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автомобильным транспортом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Лист2!$B$2:$F$2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100.2</c:v>
                </c:pt>
                <c:pt idx="1">
                  <c:v>89.5</c:v>
                </c:pt>
                <c:pt idx="2">
                  <c:v>111.1</c:v>
                </c:pt>
                <c:pt idx="3">
                  <c:v>111.2</c:v>
                </c:pt>
                <c:pt idx="4">
                  <c:v>112.3</c:v>
                </c:pt>
              </c:numCache>
            </c:numRef>
          </c:val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железнодорожным транспортом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Лист2!$B$2:$F$2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Лист2!$B$6:$F$6</c:f>
              <c:numCache>
                <c:formatCode>General</c:formatCode>
                <c:ptCount val="5"/>
                <c:pt idx="0">
                  <c:v>1.9</c:v>
                </c:pt>
                <c:pt idx="1">
                  <c:v>1.6</c:v>
                </c:pt>
                <c:pt idx="2">
                  <c:v>1.7</c:v>
                </c:pt>
                <c:pt idx="3">
                  <c:v>2.4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540736"/>
        <c:axId val="139542912"/>
        <c:axId val="0"/>
      </c:bar3DChart>
      <c:catAx>
        <c:axId val="13954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3727606085522917"/>
              <c:y val="0.847893556731899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9542912"/>
        <c:crosses val="autoZero"/>
        <c:auto val="1"/>
        <c:lblAlgn val="ctr"/>
        <c:lblOffset val="100"/>
        <c:noMultiLvlLbl val="0"/>
      </c:catAx>
      <c:valAx>
        <c:axId val="1395429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тонн</a:t>
                </a:r>
              </a:p>
            </c:rich>
          </c:tx>
          <c:layout>
            <c:manualLayout>
              <c:xMode val="edge"/>
              <c:yMode val="edge"/>
              <c:x val="2.2952624746727392E-3"/>
              <c:y val="0.154239036187473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954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0E13-A739-435A-900B-CC271360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11249</Words>
  <Characters>64121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cp:lastPrinted>2018-10-11T10:22:00Z</cp:lastPrinted>
  <dcterms:created xsi:type="dcterms:W3CDTF">2018-10-31T11:53:00Z</dcterms:created>
  <dcterms:modified xsi:type="dcterms:W3CDTF">2018-10-31T11:53:00Z</dcterms:modified>
</cp:coreProperties>
</file>